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bookmarkStart w:id="0" w:name="_GoBack"/>
      <w:bookmarkEnd w:id="0"/>
      <w:r w:rsidRPr="004F2E0C">
        <w:rPr>
          <w:rFonts w:ascii="Arial" w:eastAsia="Times New Roman" w:hAnsi="Arial" w:cs="Arial"/>
          <w:b/>
          <w:bCs/>
          <w:color w:val="333333"/>
          <w:sz w:val="32"/>
          <w:szCs w:val="32"/>
          <w:lang w:eastAsia="pl-PL"/>
        </w:rPr>
        <w:t>SYLLABUS</w:t>
      </w:r>
    </w:p>
    <w:p w:rsidR="004F2E0C" w:rsidRPr="004F2E0C" w:rsidRDefault="004F2E0C" w:rsidP="004F2E0C">
      <w:pPr>
        <w:shd w:val="clear" w:color="auto" w:fill="FFFFFF"/>
        <w:spacing w:after="12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12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Academic year 2021/2022</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67"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2"/>
        <w:gridCol w:w="3260"/>
        <w:gridCol w:w="4565"/>
      </w:tblGrid>
      <w:tr w:rsidR="004F2E0C" w:rsidRPr="004F2E0C" w:rsidTr="004F2E0C">
        <w:trPr>
          <w:jc w:val="center"/>
        </w:trPr>
        <w:tc>
          <w:tcPr>
            <w:tcW w:w="24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Name of a course / module</w:t>
            </w:r>
          </w:p>
        </w:tc>
        <w:tc>
          <w:tcPr>
            <w:tcW w:w="7825"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Anatomy</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Name of a department where course is held</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Human Anatomy Department</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E-mail of department</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anatomia@umb.edu.pl</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Faculty</w:t>
            </w:r>
            <w:r w:rsidRPr="004F2E0C">
              <w:rPr>
                <w:rFonts w:ascii="Arial" w:eastAsia="Times New Roman" w:hAnsi="Arial" w:cs="Arial"/>
                <w:b/>
                <w:bCs/>
                <w:color w:val="333333"/>
                <w:sz w:val="20"/>
                <w:szCs w:val="20"/>
                <w:lang w:eastAsia="pl-PL"/>
              </w:rPr>
              <w:t> of</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Medicine with Division of Dentistry and Division of Medical Education in English</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Name</w:t>
            </w:r>
            <w:r w:rsidRPr="004F2E0C">
              <w:rPr>
                <w:rFonts w:ascii="Arial" w:eastAsia="Times New Roman" w:hAnsi="Arial" w:cs="Arial"/>
                <w:color w:val="333333"/>
                <w:sz w:val="20"/>
                <w:szCs w:val="20"/>
                <w:lang w:val="en-US" w:eastAsia="pl-PL"/>
              </w:rPr>
              <w:t> </w:t>
            </w:r>
            <w:r w:rsidRPr="004F2E0C">
              <w:rPr>
                <w:rFonts w:ascii="Arial" w:eastAsia="Times New Roman" w:hAnsi="Arial" w:cs="Arial"/>
                <w:b/>
                <w:bCs/>
                <w:color w:val="333333"/>
                <w:sz w:val="20"/>
                <w:szCs w:val="20"/>
                <w:lang w:val="en-US" w:eastAsia="pl-PL"/>
              </w:rPr>
              <w:t>of a field of study</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Medicine</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Level</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eastAsia="pl-PL"/>
              </w:rPr>
              <w:t>of education</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Uniform master’s degree studies</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Form</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eastAsia="pl-PL"/>
              </w:rPr>
              <w:t>of study</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full time x part time </w:t>
            </w:r>
            <w:r w:rsidRPr="004F2E0C">
              <w:rPr>
                <w:rFonts w:ascii="Arial" w:eastAsia="Times New Roman" w:hAnsi="Arial" w:cs="Arial"/>
                <w:color w:val="333333"/>
                <w:sz w:val="20"/>
                <w:szCs w:val="20"/>
                <w:lang w:eastAsia="pl-PL"/>
              </w:rPr>
              <w:t>£</w:t>
            </w:r>
          </w:p>
        </w:tc>
      </w:tr>
      <w:tr w:rsidR="004F2E0C" w:rsidRPr="004F2E0C" w:rsidTr="004F2E0C">
        <w:trPr>
          <w:trHeight w:val="32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Language</w:t>
            </w:r>
            <w:r w:rsidRPr="004F2E0C">
              <w:rPr>
                <w:rFonts w:ascii="Arial" w:eastAsia="Times New Roman" w:hAnsi="Arial" w:cs="Arial"/>
                <w:b/>
                <w:bCs/>
                <w:color w:val="333333"/>
                <w:sz w:val="20"/>
                <w:szCs w:val="20"/>
                <w:lang w:eastAsia="pl-PL"/>
              </w:rPr>
              <w:t> of </w:t>
            </w:r>
            <w:r w:rsidRPr="004F2E0C">
              <w:rPr>
                <w:rFonts w:ascii="Arial" w:eastAsia="Times New Roman" w:hAnsi="Arial" w:cs="Arial"/>
                <w:b/>
                <w:bCs/>
                <w:color w:val="333333"/>
                <w:sz w:val="20"/>
                <w:szCs w:val="20"/>
                <w:lang w:val="en-US" w:eastAsia="pl-PL"/>
              </w:rPr>
              <w:t>instruction</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Polish £ English x</w:t>
            </w:r>
          </w:p>
        </w:tc>
      </w:tr>
      <w:tr w:rsidR="004F2E0C" w:rsidRPr="004F2E0C" w:rsidTr="004F2E0C">
        <w:trPr>
          <w:trHeight w:val="285"/>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Type of course</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000000"/>
                <w:sz w:val="20"/>
                <w:szCs w:val="20"/>
                <w:lang w:val="en-US" w:eastAsia="pl-PL"/>
              </w:rPr>
              <w:t>obligatory</w:t>
            </w:r>
            <w:r w:rsidRPr="004F2E0C">
              <w:rPr>
                <w:rFonts w:ascii="Arial" w:eastAsia="Times New Roman" w:hAnsi="Arial" w:cs="Arial"/>
                <w:color w:val="333333"/>
                <w:sz w:val="23"/>
                <w:szCs w:val="23"/>
                <w:lang w:eastAsia="pl-PL"/>
              </w:rPr>
              <w:t> </w:t>
            </w:r>
            <w:r w:rsidRPr="004F2E0C">
              <w:rPr>
                <w:rFonts w:ascii="Arial" w:eastAsia="Times New Roman" w:hAnsi="Arial" w:cs="Arial"/>
                <w:color w:val="333333"/>
                <w:sz w:val="20"/>
                <w:szCs w:val="20"/>
                <w:lang w:eastAsia="pl-PL"/>
              </w:rPr>
              <w:t>x </w:t>
            </w:r>
            <w:r w:rsidRPr="004F2E0C">
              <w:rPr>
                <w:rFonts w:ascii="Arial" w:eastAsia="Times New Roman" w:hAnsi="Arial" w:cs="Arial"/>
                <w:color w:val="000000"/>
                <w:sz w:val="20"/>
                <w:szCs w:val="20"/>
                <w:lang w:eastAsia="pl-PL"/>
              </w:rPr>
              <w:t>facultative</w:t>
            </w:r>
            <w:r w:rsidRPr="004F2E0C">
              <w:rPr>
                <w:rFonts w:ascii="Arial" w:eastAsia="Times New Roman" w:hAnsi="Arial" w:cs="Arial"/>
                <w:color w:val="333333"/>
                <w:sz w:val="23"/>
                <w:szCs w:val="23"/>
                <w:lang w:eastAsia="pl-PL"/>
              </w:rPr>
              <w:t> </w:t>
            </w:r>
            <w:r w:rsidRPr="004F2E0C">
              <w:rPr>
                <w:rFonts w:ascii="Arial" w:eastAsia="Times New Roman" w:hAnsi="Arial" w:cs="Arial"/>
                <w:color w:val="333333"/>
                <w:sz w:val="20"/>
                <w:szCs w:val="20"/>
                <w:lang w:eastAsia="pl-PL"/>
              </w:rPr>
              <w:t>£</w:t>
            </w:r>
          </w:p>
        </w:tc>
      </w:tr>
      <w:tr w:rsidR="004F2E0C" w:rsidRPr="004F2E0C" w:rsidTr="004F2E0C">
        <w:trPr>
          <w:trHeight w:val="274"/>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Year of study / Semester</w:t>
            </w:r>
          </w:p>
        </w:tc>
        <w:tc>
          <w:tcPr>
            <w:tcW w:w="326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I x II £ III £ IV £ V £ VI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56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1 x 2 x 3 £ 4 £ 5 £ 6 £ 7 £ 8 £ 10 £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11 £ 12 £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74"/>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Introductory courses with preliminary requirements</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GB" w:eastAsia="pl-PL"/>
              </w:rPr>
              <w:t>getting credit according to recruitment procedure</w:t>
            </w:r>
          </w:p>
        </w:tc>
      </w:tr>
      <w:tr w:rsidR="004F2E0C" w:rsidRPr="004F2E0C" w:rsidTr="004F2E0C">
        <w:trPr>
          <w:trHeight w:val="361"/>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Number of didactic hours with specification of forms of conducting classes</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Lectures-50, Classes-150, Seminars-10</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Assumptions and aims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of the course</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Acquainting students with anatomy of human body, topographical relationships and function of particular parts, organs, and systems. Usage of anatomical knowledge in the clinical medicine, diagnosis, and treatment of patients</w:t>
            </w:r>
            <w:r w:rsidRPr="004F2E0C">
              <w:rPr>
                <w:rFonts w:ascii="Arial" w:eastAsia="Times New Roman" w:hAnsi="Arial" w:cs="Arial"/>
                <w:i/>
                <w:iCs/>
                <w:color w:val="333333"/>
                <w:sz w:val="20"/>
                <w:szCs w:val="20"/>
                <w:lang w:val="en-GB" w:eastAsia="pl-PL"/>
              </w:rPr>
              <w:t>.</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Didactic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providing knowledge in a form of a lecture</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self study</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study of the literature</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practical classes, i.e. dissection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other methods/forms (e.g. e-learning basing on e-materials available on in the web sites of the recommended textbooks)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1"/>
                <w:szCs w:val="21"/>
                <w:lang w:val="en-US" w:eastAsia="pl-PL"/>
              </w:rPr>
              <w:t>- consultation (both regular- just after classes and organized exceptionally in individual cases according to the special needs)</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Full name of the person conducting the course</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GB" w:eastAsia="pl-PL"/>
              </w:rPr>
              <w:t>employed scientific and teaching staff</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Full name of the person responsible for teaching</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000000"/>
                <w:sz w:val="20"/>
                <w:szCs w:val="20"/>
                <w:lang w:eastAsia="pl-PL"/>
              </w:rPr>
              <w:t>Magdalena Anna Szkudlarek, Janusz Bogdan Dzięcioł</w:t>
            </w:r>
          </w:p>
        </w:tc>
      </w:tr>
    </w:tbl>
    <w:p w:rsidR="004F2E0C" w:rsidRPr="004F2E0C" w:rsidRDefault="004F2E0C" w:rsidP="004F2E0C">
      <w:pPr>
        <w:shd w:val="clear" w:color="auto" w:fill="FFFFFF"/>
        <w:spacing w:after="75" w:line="240" w:lineRule="auto"/>
        <w:ind w:left="-567"/>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00"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3"/>
        <w:gridCol w:w="4692"/>
        <w:gridCol w:w="84"/>
        <w:gridCol w:w="930"/>
        <w:gridCol w:w="3231"/>
      </w:tblGrid>
      <w:tr w:rsidR="004F2E0C" w:rsidRPr="004F2E0C" w:rsidTr="004F2E0C">
        <w:trPr>
          <w:jc w:val="center"/>
        </w:trPr>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Symbol and number of learning outcomes according to the teaching standards and other learning outcomes</w:t>
            </w:r>
          </w:p>
        </w:tc>
        <w:tc>
          <w:tcPr>
            <w:tcW w:w="472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Description of directional learning outcomes</w:t>
            </w:r>
          </w:p>
        </w:tc>
        <w:tc>
          <w:tcPr>
            <w:tcW w:w="945"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Form of classes</w:t>
            </w:r>
          </w:p>
        </w:tc>
        <w:tc>
          <w:tcPr>
            <w:tcW w:w="326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Verification methods for achieving intended learning outcomes</w:t>
            </w:r>
          </w:p>
        </w:tc>
      </w:tr>
      <w:tr w:rsidR="004F2E0C" w:rsidRPr="004F2E0C" w:rsidTr="004F2E0C">
        <w:trPr>
          <w:jc w:val="center"/>
        </w:trPr>
        <w:tc>
          <w:tcPr>
            <w:tcW w:w="10196" w:type="dxa"/>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Knowledge</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A.W1.</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English terminology of anatomy, histology and embryology;</w:t>
            </w:r>
          </w:p>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60"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Summarizing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xml:space="preserve">-- written exam (test – Multiple choice questions and one choice </w:t>
            </w:r>
            <w:r w:rsidRPr="004F2E0C">
              <w:rPr>
                <w:rFonts w:ascii="Arial" w:eastAsia="Times New Roman" w:hAnsi="Arial" w:cs="Arial"/>
                <w:i/>
                <w:iCs/>
                <w:color w:val="333333"/>
                <w:sz w:val="20"/>
                <w:szCs w:val="20"/>
                <w:lang w:val="en-US" w:eastAsia="pl-PL"/>
              </w:rPr>
              <w:lastRenderedPageBreak/>
              <w:t>questions; descriptive examination – open questions with short answers.)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Forming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observation of the student's work</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evaluation of the activity in the classroom</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completion of each activity</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assessment of preparation for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 in class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partial tests</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lastRenderedPageBreak/>
              <w:t>A.W2.</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ind w:left="825"/>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human topographic anatomy (upper and lower extremities, chest, abdomen, pelvis, back, neck, head) and human functional anatomy (osteoarticular</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system, muscular system, cardiovascular system, respiratory system, digestive system, urinary system, sexual system, nervous system with sense organs and</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integumentum commune)</w:t>
            </w:r>
          </w:p>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A.W3.</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topographic relationship between particular organs,</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0196" w:type="dxa"/>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Skills</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A.U3.</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explaining the anatomical basis of physical examination,</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60"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Summarizing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practical examination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(with usage of cadaver specimens and X-ray images)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Forming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observation of the student's work</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evaluation of the activity in the classroom</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completion of each activity</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assessment of preparation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for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 in class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partial tests</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A.U4.</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drawing conclusions concerning the relationship between anatomical structures based on intravital diagnostic examinations, especially in the field of radiology (plain films, contrast medium examinations, computed tomography, magnetic resonance imaging),</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A.U5.</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using the terminology of anatomy, histology and embryology in speech and writing.</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0196" w:type="dxa"/>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Social competence</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He /She recognizes his/her own diagnostic and therapeutic limitations, educational needs, planning of educational activity</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60"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Summarizing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Continuous assessment by teachers (observation)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Forming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observation of the student's work</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 in class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opinions</w:t>
            </w:r>
            <w:r w:rsidRPr="004F2E0C">
              <w:rPr>
                <w:rFonts w:ascii="Arial" w:eastAsia="Times New Roman" w:hAnsi="Arial" w:cs="Arial"/>
                <w:i/>
                <w:iCs/>
                <w:color w:val="333333"/>
                <w:sz w:val="23"/>
                <w:szCs w:val="23"/>
                <w:lang w:eastAsia="pl-PL"/>
              </w:rPr>
              <w:t> </w:t>
            </w:r>
            <w:r w:rsidRPr="004F2E0C">
              <w:rPr>
                <w:rFonts w:ascii="Arial" w:eastAsia="Times New Roman" w:hAnsi="Arial" w:cs="Arial"/>
                <w:i/>
                <w:iCs/>
                <w:color w:val="333333"/>
                <w:sz w:val="20"/>
                <w:szCs w:val="20"/>
                <w:lang w:val="en-US" w:eastAsia="pl-PL"/>
              </w:rPr>
              <w:t>of patients, colleagues</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He /She is able to work in a team of professionals, in a multicultural and multinational environment</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He /She implements the principles of professional camaraderie and cooperation with representatives of other professionals in the range of health care</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2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1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5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bl>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14"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22"/>
        <w:gridCol w:w="3430"/>
        <w:gridCol w:w="31"/>
        <w:gridCol w:w="4031"/>
      </w:tblGrid>
      <w:tr w:rsidR="004F2E0C" w:rsidRPr="004F2E0C" w:rsidTr="004F2E0C">
        <w:trPr>
          <w:trHeight w:val="361"/>
          <w:jc w:val="center"/>
        </w:trPr>
        <w:tc>
          <w:tcPr>
            <w:tcW w:w="27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ECTS points</w:t>
            </w:r>
          </w:p>
        </w:tc>
        <w:tc>
          <w:tcPr>
            <w:tcW w:w="7492" w:type="dxa"/>
            <w:gridSpan w:val="3"/>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eastAsia="pl-PL"/>
              </w:rPr>
              <w:t>19.0</w:t>
            </w:r>
          </w:p>
        </w:tc>
      </w:tr>
      <w:tr w:rsidR="004F2E0C" w:rsidRPr="004F2E0C" w:rsidTr="004F2E0C">
        <w:trPr>
          <w:trHeight w:val="361"/>
          <w:jc w:val="center"/>
        </w:trPr>
        <w:tc>
          <w:tcPr>
            <w:tcW w:w="10214" w:type="dxa"/>
            <w:gridSpan w:val="4"/>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Student</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eastAsia="pl-PL"/>
              </w:rPr>
              <w:t>Workload</w:t>
            </w:r>
          </w:p>
        </w:tc>
      </w:tr>
      <w:tr w:rsidR="004F2E0C" w:rsidRPr="004F2E0C" w:rsidTr="004F2E0C">
        <w:trPr>
          <w:trHeight w:val="27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Form of activity</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Number of hours</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val="en-US" w:eastAsia="pl-PL"/>
              </w:rPr>
              <w:t>to complete the</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val="en-US" w:eastAsia="pl-PL"/>
              </w:rPr>
              <w:t>activity</w:t>
            </w:r>
          </w:p>
        </w:tc>
      </w:tr>
      <w:tr w:rsidR="004F2E0C" w:rsidRPr="004F2E0C" w:rsidTr="004F2E0C">
        <w:trPr>
          <w:trHeight w:val="225"/>
          <w:jc w:val="center"/>
        </w:trPr>
        <w:tc>
          <w:tcPr>
            <w:tcW w:w="10214" w:type="dxa"/>
            <w:gridSpan w:val="4"/>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Classes that require the participation of a teacher</w:t>
            </w:r>
          </w:p>
        </w:tc>
      </w:tr>
      <w:tr w:rsidR="004F2E0C" w:rsidRPr="004F2E0C" w:rsidTr="004F2E0C">
        <w:trPr>
          <w:trHeight w:val="22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1"/>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lectures (according to the curriculum )</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50</w:t>
            </w:r>
          </w:p>
        </w:tc>
      </w:tr>
      <w:tr w:rsidR="004F2E0C" w:rsidRPr="004F2E0C" w:rsidTr="004F2E0C">
        <w:trPr>
          <w:trHeight w:val="298"/>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2"/>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classes (according to the curriculum )</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150</w:t>
            </w:r>
          </w:p>
        </w:tc>
      </w:tr>
      <w:tr w:rsidR="004F2E0C" w:rsidRPr="004F2E0C" w:rsidTr="004F2E0C">
        <w:trPr>
          <w:trHeight w:val="298"/>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3"/>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seminars; (according to the curriculum)</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10</w:t>
            </w:r>
          </w:p>
        </w:tc>
      </w:tr>
      <w:tr w:rsidR="004F2E0C" w:rsidRPr="004F2E0C" w:rsidTr="004F2E0C">
        <w:trPr>
          <w:trHeight w:val="19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4"/>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electives</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19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5"/>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Participation in</w:t>
            </w:r>
            <w:r w:rsidRPr="004F2E0C">
              <w:rPr>
                <w:rFonts w:ascii="Arial" w:eastAsia="Times New Roman" w:hAnsi="Arial" w:cs="Arial"/>
                <w:color w:val="333333"/>
                <w:sz w:val="23"/>
                <w:szCs w:val="23"/>
                <w:lang w:eastAsia="pl-PL"/>
              </w:rPr>
              <w:t> </w:t>
            </w:r>
            <w:r w:rsidRPr="004F2E0C">
              <w:rPr>
                <w:rFonts w:ascii="Arial" w:eastAsia="Times New Roman" w:hAnsi="Arial" w:cs="Arial"/>
                <w:color w:val="333333"/>
                <w:sz w:val="20"/>
                <w:szCs w:val="20"/>
                <w:lang w:eastAsia="pl-PL"/>
              </w:rPr>
              <w:t>consultation</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25"/>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ind w:left="720"/>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Total hours: 210</w:t>
            </w:r>
          </w:p>
        </w:tc>
      </w:tr>
      <w:tr w:rsidR="004F2E0C" w:rsidRPr="004F2E0C" w:rsidTr="004F2E0C">
        <w:trPr>
          <w:trHeight w:val="319"/>
          <w:jc w:val="center"/>
        </w:trPr>
        <w:tc>
          <w:tcPr>
            <w:tcW w:w="10214" w:type="dxa"/>
            <w:gridSpan w:val="4"/>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Student self-study</w:t>
            </w:r>
          </w:p>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10"/>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6"/>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Preparation for the theoretical and practical classes</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25"/>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7"/>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Preparation for tests/credits</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165"/>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8"/>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lastRenderedPageBreak/>
              <w:t>Preparation for an exam/final test-credit</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64"/>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ind w:left="720"/>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Total hours:</w:t>
            </w:r>
          </w:p>
        </w:tc>
      </w:tr>
    </w:tbl>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45"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2"/>
        <w:gridCol w:w="5123"/>
      </w:tblGrid>
      <w:tr w:rsidR="004F2E0C" w:rsidRPr="004F2E0C" w:rsidTr="004F2E0C">
        <w:trPr>
          <w:jc w:val="center"/>
        </w:trPr>
        <w:tc>
          <w:tcPr>
            <w:tcW w:w="4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Course contents:</w:t>
            </w:r>
          </w:p>
        </w:tc>
        <w:tc>
          <w:tcPr>
            <w:tcW w:w="4606"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jc w:val="center"/>
        </w:trPr>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Learning outcomes</w:t>
            </w:r>
            <w:r w:rsidRPr="004F2E0C">
              <w:rPr>
                <w:rFonts w:ascii="Arial" w:eastAsia="Times New Roman" w:hAnsi="Arial" w:cs="Arial"/>
                <w:color w:val="333333"/>
                <w:sz w:val="23"/>
                <w:szCs w:val="23"/>
                <w:lang w:eastAsia="pl-PL"/>
              </w:rPr>
              <w:br/>
            </w:r>
            <w:r w:rsidRPr="004F2E0C">
              <w:rPr>
                <w:rFonts w:ascii="Arial" w:eastAsia="Times New Roman" w:hAnsi="Arial" w:cs="Arial"/>
                <w:b/>
                <w:bCs/>
                <w:color w:val="333333"/>
                <w:sz w:val="20"/>
                <w:szCs w:val="20"/>
                <w:lang w:val="en-US" w:eastAsia="pl-PL"/>
              </w:rPr>
              <w:t>(symbol and number)</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Topics</w:t>
            </w:r>
          </w:p>
        </w:tc>
      </w:tr>
      <w:tr w:rsidR="004F2E0C" w:rsidRPr="004F2E0C" w:rsidTr="004F2E0C">
        <w:trPr>
          <w:jc w:val="center"/>
        </w:trPr>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1. </w:t>
            </w:r>
            <w:r w:rsidRPr="004F2E0C">
              <w:rPr>
                <w:rFonts w:ascii="Arial" w:eastAsia="Times New Roman" w:hAnsi="Arial" w:cs="Arial"/>
                <w:color w:val="333333"/>
                <w:sz w:val="20"/>
                <w:szCs w:val="20"/>
                <w:lang w:val="en-US" w:eastAsia="pl-PL"/>
              </w:rPr>
              <w:t>A.W1.</w:t>
            </w:r>
            <w:r w:rsidRPr="004F2E0C">
              <w:rPr>
                <w:rFonts w:ascii="Arial" w:eastAsia="Times New Roman" w:hAnsi="Arial" w:cs="Arial"/>
                <w:color w:val="333333"/>
                <w:sz w:val="24"/>
                <w:szCs w:val="24"/>
                <w:lang w:eastAsia="pl-PL"/>
              </w:rPr>
              <w:t> English terminology of anatomy, histology and embryology;</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2.</w:t>
            </w:r>
            <w:r w:rsidRPr="004F2E0C">
              <w:rPr>
                <w:rFonts w:ascii="Arial" w:eastAsia="Times New Roman" w:hAnsi="Arial" w:cs="Arial"/>
                <w:color w:val="333333"/>
                <w:sz w:val="23"/>
                <w:szCs w:val="23"/>
                <w:lang w:eastAsia="pl-PL"/>
              </w:rPr>
              <w:t> </w:t>
            </w:r>
            <w:r w:rsidRPr="004F2E0C">
              <w:rPr>
                <w:rFonts w:ascii="Arial" w:eastAsia="Times New Roman" w:hAnsi="Arial" w:cs="Arial"/>
                <w:color w:val="333333"/>
                <w:sz w:val="20"/>
                <w:szCs w:val="20"/>
                <w:lang w:val="en-US" w:eastAsia="pl-PL"/>
              </w:rPr>
              <w:t>A.W2.</w:t>
            </w:r>
            <w:r w:rsidRPr="004F2E0C">
              <w:rPr>
                <w:rFonts w:ascii="Arial" w:eastAsia="Times New Roman" w:hAnsi="Arial" w:cs="Arial"/>
                <w:color w:val="333333"/>
                <w:sz w:val="24"/>
                <w:szCs w:val="24"/>
                <w:lang w:eastAsia="pl-PL"/>
              </w:rPr>
              <w:t> human topographic anatomy (upper and lower extremities, chest, abdomen, pelvis, back, neck, head) and human functional anatomy (osteoarticular</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system, muscular system, cardiovascular system, respiratory system, digestive system, urinary system, sexual system, nervous system with sense organs and</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integumentum commune)</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3.</w:t>
            </w:r>
            <w:r w:rsidRPr="004F2E0C">
              <w:rPr>
                <w:rFonts w:ascii="Arial" w:eastAsia="Times New Roman" w:hAnsi="Arial" w:cs="Arial"/>
                <w:color w:val="333333"/>
                <w:sz w:val="20"/>
                <w:szCs w:val="20"/>
                <w:lang w:val="en-US" w:eastAsia="pl-PL"/>
              </w:rPr>
              <w:t> A.W3.</w:t>
            </w:r>
            <w:r w:rsidRPr="004F2E0C">
              <w:rPr>
                <w:rFonts w:ascii="Arial" w:eastAsia="Times New Roman" w:hAnsi="Arial" w:cs="Arial"/>
                <w:color w:val="333333"/>
                <w:sz w:val="24"/>
                <w:szCs w:val="24"/>
                <w:lang w:eastAsia="pl-PL"/>
              </w:rPr>
              <w:t> topographic relationship between particular organs,</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4.</w:t>
            </w:r>
            <w:r w:rsidRPr="004F2E0C">
              <w:rPr>
                <w:rFonts w:ascii="Arial" w:eastAsia="Times New Roman" w:hAnsi="Arial" w:cs="Arial"/>
                <w:color w:val="333333"/>
                <w:sz w:val="20"/>
                <w:szCs w:val="20"/>
                <w:lang w:val="en-US" w:eastAsia="pl-PL"/>
              </w:rPr>
              <w:t> A.U3</w:t>
            </w:r>
            <w:r w:rsidRPr="004F2E0C">
              <w:rPr>
                <w:rFonts w:ascii="Arial" w:eastAsia="Times New Roman" w:hAnsi="Arial" w:cs="Arial"/>
                <w:color w:val="333333"/>
                <w:sz w:val="24"/>
                <w:szCs w:val="24"/>
                <w:lang w:eastAsia="pl-PL"/>
              </w:rPr>
              <w:t> explaining the anatomical basis of physical examination,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5. A.U4</w:t>
            </w:r>
            <w:r w:rsidRPr="004F2E0C">
              <w:rPr>
                <w:rFonts w:ascii="Arial" w:eastAsia="Times New Roman" w:hAnsi="Arial" w:cs="Arial"/>
                <w:color w:val="333333"/>
                <w:sz w:val="24"/>
                <w:szCs w:val="24"/>
                <w:lang w:eastAsia="pl-PL"/>
              </w:rPr>
              <w:t> drawing conclusions concerning the relationship between anatomical structures based on intravital diagnostic examinations, especially in the field of radiology (plain films, contrast medium examinations, computed tomography, magnetic resonance imaging),</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6.</w:t>
            </w:r>
            <w:r w:rsidRPr="004F2E0C">
              <w:rPr>
                <w:rFonts w:ascii="Arial" w:eastAsia="Times New Roman" w:hAnsi="Arial" w:cs="Arial"/>
                <w:color w:val="333333"/>
                <w:sz w:val="20"/>
                <w:szCs w:val="20"/>
                <w:lang w:val="en-US" w:eastAsia="pl-PL"/>
              </w:rPr>
              <w:t> A.U5</w:t>
            </w:r>
            <w:r w:rsidRPr="004F2E0C">
              <w:rPr>
                <w:rFonts w:ascii="Arial" w:eastAsia="Times New Roman" w:hAnsi="Arial" w:cs="Arial"/>
                <w:color w:val="333333"/>
                <w:sz w:val="24"/>
                <w:szCs w:val="24"/>
                <w:lang w:eastAsia="pl-PL"/>
              </w:rPr>
              <w:t> using the terminology of anatomy, histology and embryology in speech and writing</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Each of the learning outcomes is realized during all following parts of the course:</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Anatomy of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bones and joints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central nervous system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head and neck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thorax (6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upper limb (5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abdomen and pelvis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lower limb (5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organ of vision (1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organ of hearing and equilibrium (1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bl>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06"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06"/>
      </w:tblGrid>
      <w:tr w:rsidR="004F2E0C" w:rsidRPr="004F2E0C" w:rsidTr="004F2E0C">
        <w:trPr>
          <w:jc w:val="center"/>
        </w:trPr>
        <w:tc>
          <w:tcPr>
            <w:tcW w:w="1020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b/>
                <w:bCs/>
                <w:sz w:val="20"/>
                <w:szCs w:val="20"/>
                <w:lang w:eastAsia="pl-PL"/>
              </w:rPr>
              <w:t>Obligatory textbook:</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numPr>
                <w:ilvl w:val="0"/>
                <w:numId w:val="9"/>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Moore Keith L., Dalley Arthur F. - “Clinically oriented anatomy” , 5.ed. 2005 or later, 0781736390</w:t>
            </w:r>
          </w:p>
          <w:p w:rsidR="004F2E0C" w:rsidRPr="004F2E0C" w:rsidRDefault="004F2E0C" w:rsidP="004F2E0C">
            <w:pPr>
              <w:numPr>
                <w:ilvl w:val="0"/>
                <w:numId w:val="9"/>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Netter Frank H. - “Atlas of Human Anatomy + CD”, 3.ed. 2003 or later, 1929007116</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b/>
                <w:bCs/>
                <w:sz w:val="20"/>
                <w:szCs w:val="20"/>
                <w:lang w:eastAsia="pl-PL"/>
              </w:rPr>
              <w:t>Optional textbook:</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numPr>
                <w:ilvl w:val="0"/>
                <w:numId w:val="10"/>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Weir Jamie, Abrahams Peter, Spratt Jonathan, Salkowski Lonie- Imaging Atlas of Human Anatomy, 4</w:t>
            </w:r>
            <w:r w:rsidRPr="004F2E0C">
              <w:rPr>
                <w:rFonts w:ascii="Times New Roman" w:eastAsia="Times New Roman" w:hAnsi="Times New Roman" w:cs="Times New Roman"/>
                <w:sz w:val="20"/>
                <w:szCs w:val="20"/>
                <w:vertAlign w:val="superscript"/>
                <w:lang w:val="en-US" w:eastAsia="pl-PL"/>
              </w:rPr>
              <w:t>th</w:t>
            </w:r>
            <w:r w:rsidRPr="004F2E0C">
              <w:rPr>
                <w:rFonts w:ascii="Times New Roman" w:eastAsia="Times New Roman" w:hAnsi="Times New Roman" w:cs="Times New Roman"/>
                <w:sz w:val="20"/>
                <w:szCs w:val="20"/>
                <w:lang w:val="en-US" w:eastAsia="pl-PL"/>
              </w:rPr>
              <w:t> ed. or later 2011,9780808923886</w:t>
            </w:r>
          </w:p>
          <w:p w:rsidR="004F2E0C" w:rsidRPr="004F2E0C" w:rsidRDefault="004F2E0C" w:rsidP="004F2E0C">
            <w:pPr>
              <w:numPr>
                <w:ilvl w:val="0"/>
                <w:numId w:val="10"/>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Richard S. Snell - Clinical Neuroanatomy 6.ed. 2005 or later, 0781759939</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tc>
      </w:tr>
    </w:tbl>
    <w:p w:rsidR="004F2E0C" w:rsidRPr="004F2E0C" w:rsidRDefault="004F2E0C" w:rsidP="004F2E0C">
      <w:pPr>
        <w:shd w:val="clear" w:color="auto" w:fill="FFFFFF"/>
        <w:spacing w:after="75"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06"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06"/>
      </w:tblGrid>
      <w:tr w:rsidR="004F2E0C" w:rsidRPr="004F2E0C" w:rsidTr="004F2E0C">
        <w:trPr>
          <w:jc w:val="center"/>
        </w:trPr>
        <w:tc>
          <w:tcPr>
            <w:tcW w:w="1020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b/>
                <w:bCs/>
                <w:sz w:val="24"/>
                <w:szCs w:val="24"/>
                <w:lang w:eastAsia="pl-PL"/>
              </w:rPr>
              <w:t>Criteria for assessing the achieved learning outcomes and the form and conditions for receiving credit</w:t>
            </w:r>
            <w:r w:rsidRPr="004F2E0C">
              <w:rPr>
                <w:rFonts w:ascii="Times New Roman" w:eastAsia="Times New Roman" w:hAnsi="Times New Roman" w:cs="Times New Roman"/>
                <w:b/>
                <w:bCs/>
                <w:sz w:val="20"/>
                <w:szCs w:val="20"/>
                <w:lang w:val="en-GB" w:eastAsia="pl-PL"/>
              </w:rPr>
              <w:t>:</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lastRenderedPageBreak/>
              <w:t>Student is obliged to participate in all classes and lectures. Absence should be justified immediately (not longer than 7 days) after disappearing of the absence reason. It is demanded in the case of health reasons a medical certificate of temporary disability and in other cases a certificate of proper authorities.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Unexcused absence during the classes excludes receiving a completing of the credit.</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Student cannot complete the credit in a normal term in the case of justified absence during more than 50% of the classes.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There is no possibility to take the credit in any other term.</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Only in the case of student who needs points to reach the level of 30% of total points from all credits in the case of his/her justified absence during the credit caused by health problems or any other important reason it is possible to complete only 1 credit in the extra term organized </w:t>
            </w:r>
            <w:r w:rsidRPr="004F2E0C">
              <w:rPr>
                <w:rFonts w:ascii="Times New Roman" w:eastAsia="Times New Roman" w:hAnsi="Times New Roman" w:cs="Times New Roman"/>
                <w:sz w:val="21"/>
                <w:szCs w:val="21"/>
                <w:u w:val="single"/>
                <w:lang w:val="en-US" w:eastAsia="pl-PL"/>
              </w:rPr>
              <w:t>after finishing of the whole Anatomy Course</w:t>
            </w:r>
            <w:r w:rsidRPr="004F2E0C">
              <w:rPr>
                <w:rFonts w:ascii="Times New Roman" w:eastAsia="Times New Roman" w:hAnsi="Times New Roman" w:cs="Times New Roman"/>
                <w:sz w:val="21"/>
                <w:szCs w:val="21"/>
                <w:lang w:val="en-US" w:eastAsia="pl-PL"/>
              </w:rPr>
              <w:t>.</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There is no possibility of taking the Lower Limb, Eye and Ear credits in any extra term by any students.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GB" w:eastAsia="pl-PL"/>
              </w:rPr>
              <w:t>Absence during the credit without the proper justification results in inability of taking the credit in the extra term.</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Each part of the course is summarized by the credit. Completing of the particular credit is divided into practical and theoretical (written) parts.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 Human Anatomy Course is divided into 9 parts (credits): osteology, central nervous system, head and neck, eye, ear, thorax, abdomen, upper limb and lower limb. The detailed plan of the lectures and practical classes is announced in the notice-board and in the Internet site </w:t>
            </w:r>
            <w:hyperlink r:id="rId5" w:history="1">
              <w:r w:rsidRPr="004F2E0C">
                <w:rPr>
                  <w:rFonts w:ascii="Times New Roman" w:eastAsia="Times New Roman" w:hAnsi="Times New Roman" w:cs="Times New Roman"/>
                  <w:color w:val="007A37"/>
                  <w:sz w:val="21"/>
                  <w:szCs w:val="21"/>
                  <w:u w:val="single"/>
                  <w:lang w:val="en-US" w:eastAsia="pl-PL"/>
                </w:rPr>
                <w:t>www.umb.edu.pl/en/wl/zaklad_anatomii_prawidlowej_czlowieka</w:t>
              </w:r>
            </w:hyperlink>
            <w:r w:rsidRPr="004F2E0C">
              <w:rPr>
                <w:rFonts w:ascii="Times New Roman" w:eastAsia="Times New Roman" w:hAnsi="Times New Roman" w:cs="Times New Roman"/>
                <w:sz w:val="21"/>
                <w:szCs w:val="21"/>
                <w:lang w:val="en-US" w:eastAsia="pl-PL"/>
              </w:rPr>
              <w:t>. at least 7 days before beginning of the particular part.</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Basing on the obligatory textbooks and atlases student should be theoretically prepared to the current classes.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Completing of the particular credit is divided into practical and theoretical parts (written or done with usage of electronic techniques). The results are assessed according to the pointed scale. The maximum number of points from all credits amounts to 220. Student who will receive 198.0 (90%) or more points has right to the early term (zero term) of the Final Exam. Gaining 99.0 (45%) to 197.9999 points gives opportunity to taking the Final Exam in the term appointed by the Dean.</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Gaining 98.9999 or less points makes impossible to take the Final Exam and complete the Anatomy Course.</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For students who cannot take the Final Exam because of the achieving 98.9999 or less points any additional credit (pre-exam test) is not organized.</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 practical part of credit (osteology, CNS, H&amp;N, Thorax, Abdomen, Upper Limb, Lower Limb) is based on recognition of 10 anatomical structures (pins). To the total credit classification is added whole number of gained points (for example 9.25 points per 10.0 possible or 8.0 per 10.0 or 0.75 per 10.0).</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 theoretical part of credit consists of set of test questions. The maximum score of the theoretical part of credit is 20 points (credits: osteology, CNS, H&amp;N, Thorax, Abdomen) 17 points (credits: Upper Limb, Lower Limb) and 8 points (credits: Eye, Ear). Eye and Ear credits consist only of theoretical part (no pins)</w:t>
            </w:r>
          </w:p>
          <w:p w:rsidR="004F2E0C" w:rsidRPr="004F2E0C" w:rsidRDefault="004F2E0C" w:rsidP="004F2E0C">
            <w:pPr>
              <w:spacing w:after="0" w:line="240" w:lineRule="auto"/>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tc>
      </w:tr>
    </w:tbl>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lang w:val="en-US" w:eastAsia="pl-PL"/>
        </w:rPr>
        <w:t>30.09.2021                                                                                            Magdalena Anna Szkudlarek</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(date and signature of the person preparing the syllabus)</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lang w:eastAsia="pl-PL"/>
        </w:rPr>
        <w:t>30.09.2021  Janusz Bogdan Dzięcioł                                                    Magdalena Anna Szkudlarek</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i/>
          <w:iCs/>
          <w:color w:val="333333"/>
          <w:sz w:val="23"/>
          <w:szCs w:val="23"/>
          <w:lang w:eastAsia="pl-PL"/>
        </w:rPr>
        <w:t>       </w:t>
      </w:r>
      <w:r w:rsidRPr="004F2E0C">
        <w:rPr>
          <w:rFonts w:ascii="Arial" w:eastAsia="Times New Roman" w:hAnsi="Arial" w:cs="Arial"/>
          <w:i/>
          <w:iCs/>
          <w:color w:val="333333"/>
          <w:sz w:val="20"/>
          <w:szCs w:val="20"/>
          <w:lang w:val="en-US" w:eastAsia="pl-PL"/>
        </w:rPr>
        <w:t>(date and signature of the Head of the                    and                                 (course coordinator)</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Department where the course is held)   </w:t>
      </w:r>
    </w:p>
    <w:p w:rsidR="00852C7B" w:rsidRDefault="00852C7B"/>
    <w:sectPr w:rsidR="00852C7B" w:rsidSect="004F2E0C">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070"/>
    <w:multiLevelType w:val="multilevel"/>
    <w:tmpl w:val="6652C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956"/>
    <w:multiLevelType w:val="multilevel"/>
    <w:tmpl w:val="6C7A1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60317"/>
    <w:multiLevelType w:val="multilevel"/>
    <w:tmpl w:val="8168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F51C2"/>
    <w:multiLevelType w:val="multilevel"/>
    <w:tmpl w:val="A7980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12C9C"/>
    <w:multiLevelType w:val="multilevel"/>
    <w:tmpl w:val="1384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E29D0"/>
    <w:multiLevelType w:val="multilevel"/>
    <w:tmpl w:val="A4A0F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D016F3"/>
    <w:multiLevelType w:val="multilevel"/>
    <w:tmpl w:val="3CACF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917C0"/>
    <w:multiLevelType w:val="multilevel"/>
    <w:tmpl w:val="ADA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05671"/>
    <w:multiLevelType w:val="multilevel"/>
    <w:tmpl w:val="DD2C6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641B1D"/>
    <w:multiLevelType w:val="multilevel"/>
    <w:tmpl w:val="BE4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A24F4"/>
    <w:multiLevelType w:val="multilevel"/>
    <w:tmpl w:val="C13A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3"/>
  </w:num>
  <w:num w:numId="5">
    <w:abstractNumId w:val="5"/>
  </w:num>
  <w:num w:numId="6">
    <w:abstractNumId w:val="10"/>
  </w:num>
  <w:num w:numId="7">
    <w:abstractNumId w:val="0"/>
  </w:num>
  <w:num w:numId="8">
    <w:abstractNumId w:val="8"/>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0C"/>
    <w:rsid w:val="004F2E0C"/>
    <w:rsid w:val="00852C7B"/>
    <w:rsid w:val="00A45601"/>
    <w:rsid w:val="00F05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5D1E6-F92A-4F64-9F08-CB0797F8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3878">
      <w:bodyDiv w:val="1"/>
      <w:marLeft w:val="0"/>
      <w:marRight w:val="0"/>
      <w:marTop w:val="0"/>
      <w:marBottom w:val="0"/>
      <w:divBdr>
        <w:top w:val="none" w:sz="0" w:space="0" w:color="auto"/>
        <w:left w:val="none" w:sz="0" w:space="0" w:color="auto"/>
        <w:bottom w:val="none" w:sz="0" w:space="0" w:color="auto"/>
        <w:right w:val="none" w:sz="0" w:space="0" w:color="auto"/>
      </w:divBdr>
      <w:divsChild>
        <w:div w:id="538006572">
          <w:marLeft w:val="0"/>
          <w:marRight w:val="0"/>
          <w:marTop w:val="0"/>
          <w:marBottom w:val="0"/>
          <w:divBdr>
            <w:top w:val="single" w:sz="2" w:space="0" w:color="666666"/>
            <w:left w:val="single" w:sz="2" w:space="0" w:color="666666"/>
            <w:bottom w:val="single" w:sz="2" w:space="0" w:color="666666"/>
            <w:right w:val="single" w:sz="2" w:space="0" w:color="666666"/>
          </w:divBdr>
        </w:div>
        <w:div w:id="66732557">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664750512">
      <w:bodyDiv w:val="1"/>
      <w:marLeft w:val="0"/>
      <w:marRight w:val="0"/>
      <w:marTop w:val="0"/>
      <w:marBottom w:val="0"/>
      <w:divBdr>
        <w:top w:val="none" w:sz="0" w:space="0" w:color="auto"/>
        <w:left w:val="none" w:sz="0" w:space="0" w:color="auto"/>
        <w:bottom w:val="none" w:sz="0" w:space="0" w:color="auto"/>
        <w:right w:val="none" w:sz="0" w:space="0" w:color="auto"/>
      </w:divBdr>
      <w:divsChild>
        <w:div w:id="913079814">
          <w:marLeft w:val="0"/>
          <w:marRight w:val="0"/>
          <w:marTop w:val="0"/>
          <w:marBottom w:val="0"/>
          <w:divBdr>
            <w:top w:val="single" w:sz="2" w:space="0" w:color="666666"/>
            <w:left w:val="single" w:sz="2" w:space="0" w:color="666666"/>
            <w:bottom w:val="single" w:sz="2" w:space="0" w:color="666666"/>
            <w:right w:val="single" w:sz="2" w:space="0" w:color="666666"/>
          </w:divBdr>
        </w:div>
        <w:div w:id="880940004">
          <w:marLeft w:val="0"/>
          <w:marRight w:val="0"/>
          <w:marTop w:val="0"/>
          <w:marBottom w:val="0"/>
          <w:divBdr>
            <w:top w:val="single" w:sz="2" w:space="0" w:color="666666"/>
            <w:left w:val="single" w:sz="2" w:space="0" w:color="666666"/>
            <w:bottom w:val="single" w:sz="2" w:space="0" w:color="666666"/>
            <w:right w:val="single" w:sz="2" w:space="0" w:color="66666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mb.edu.pl/en/wl/zaklad_anatomii_prawidlowej_czlowie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8843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Natasza Zadykowicz</cp:lastModifiedBy>
  <cp:revision>2</cp:revision>
  <dcterms:created xsi:type="dcterms:W3CDTF">2022-06-02T11:24:00Z</dcterms:created>
  <dcterms:modified xsi:type="dcterms:W3CDTF">2022-06-02T11:24:00Z</dcterms:modified>
</cp:coreProperties>
</file>