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C0" w:rsidRPr="00E73799" w:rsidRDefault="00CC5DC0" w:rsidP="00CC5D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3799">
        <w:rPr>
          <w:rFonts w:ascii="Times New Roman" w:hAnsi="Times New Roman" w:cs="Times New Roman"/>
          <w:sz w:val="24"/>
          <w:szCs w:val="24"/>
        </w:rPr>
        <w:t>Tytuł</w:t>
      </w:r>
      <w:proofErr w:type="spellEnd"/>
      <w:r w:rsidRPr="00E7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99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73799">
        <w:rPr>
          <w:rFonts w:ascii="Times New Roman" w:hAnsi="Times New Roman" w:cs="Times New Roman"/>
          <w:sz w:val="24"/>
          <w:szCs w:val="24"/>
        </w:rPr>
        <w:t xml:space="preserve">: </w:t>
      </w:r>
      <w:r w:rsidRPr="00F01921">
        <w:rPr>
          <w:rFonts w:ascii="Times New Roman" w:hAnsi="Times New Roman" w:cs="Times New Roman"/>
          <w:b/>
          <w:bCs/>
          <w:sz w:val="24"/>
          <w:szCs w:val="24"/>
        </w:rPr>
        <w:t>Quantitative measurement of HCV core antigen for management of interferon-free therapy in HCV-infected patients.</w:t>
      </w:r>
    </w:p>
    <w:p w:rsidR="00CC5DC0" w:rsidRPr="00F83927" w:rsidRDefault="00CC5DC0" w:rsidP="00CC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73799">
        <w:rPr>
          <w:rFonts w:ascii="Times New Roman" w:hAnsi="Times New Roman" w:cs="Times New Roman"/>
          <w:sz w:val="24"/>
          <w:szCs w:val="24"/>
          <w:lang w:val="pl-PL"/>
        </w:rPr>
        <w:t>Opublikowane</w:t>
      </w:r>
      <w:r w:rsidRPr="00F83927">
        <w:rPr>
          <w:rFonts w:ascii="Times New Roman" w:hAnsi="Times New Roman" w:cs="Times New Roman"/>
          <w:sz w:val="24"/>
          <w:szCs w:val="24"/>
          <w:lang w:val="pl-PL"/>
        </w:rPr>
        <w:t xml:space="preserve"> w: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Antiviral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Therapy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839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2017 </w:t>
      </w:r>
      <w:proofErr w:type="spellStart"/>
      <w:r w:rsidRPr="00F83927">
        <w:rPr>
          <w:rFonts w:ascii="Times New Roman" w:hAnsi="Times New Roman" w:cs="Times New Roman"/>
          <w:b/>
          <w:sz w:val="24"/>
          <w:szCs w:val="24"/>
          <w:lang w:val="pl-PL"/>
        </w:rPr>
        <w:t>Oct</w:t>
      </w:r>
      <w:proofErr w:type="spellEnd"/>
      <w:r w:rsidRPr="00F839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10. doi: 10.3851/IMP3190. [w druku]</w:t>
      </w:r>
    </w:p>
    <w:p w:rsidR="00CC5DC0" w:rsidRPr="00E73799" w:rsidRDefault="00CC5DC0" w:rsidP="00CC5DC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Autorzy: </w:t>
      </w:r>
      <w:r w:rsidRPr="00E737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Mariusz </w:t>
      </w:r>
      <w:proofErr w:type="spellStart"/>
      <w:r w:rsidRPr="00E73799">
        <w:rPr>
          <w:rFonts w:ascii="Times New Roman" w:hAnsi="Times New Roman" w:cs="Times New Roman"/>
          <w:b/>
          <w:sz w:val="24"/>
          <w:szCs w:val="24"/>
          <w:lang w:val="pl-PL"/>
        </w:rPr>
        <w:t>Łucejko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 Robert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Flisiak</w:t>
      </w:r>
      <w:proofErr w:type="spellEnd"/>
    </w:p>
    <w:p w:rsidR="00CC5DC0" w:rsidRPr="00F01921" w:rsidRDefault="00CC5DC0" w:rsidP="00CC5DC0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CC5DC0" w:rsidRPr="00F01921" w:rsidRDefault="00CC5DC0" w:rsidP="00CC5DC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01921">
        <w:rPr>
          <w:rFonts w:ascii="Times New Roman" w:hAnsi="Times New Roman" w:cs="Times New Roman"/>
          <w:b/>
          <w:sz w:val="28"/>
          <w:szCs w:val="28"/>
          <w:lang w:val="pl-PL"/>
        </w:rPr>
        <w:t>Streszczenie</w:t>
      </w:r>
    </w:p>
    <w:p w:rsidR="00CC5DC0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A16">
        <w:rPr>
          <w:rFonts w:ascii="Times New Roman" w:hAnsi="Times New Roman" w:cs="Times New Roman"/>
          <w:sz w:val="24"/>
          <w:szCs w:val="24"/>
          <w:lang w:val="pl-PL"/>
        </w:rPr>
        <w:t>Zgodnie z aktualnymi zaleceniami diagno</w:t>
      </w:r>
      <w:r>
        <w:rPr>
          <w:rFonts w:ascii="Times New Roman" w:hAnsi="Times New Roman" w:cs="Times New Roman"/>
          <w:sz w:val="24"/>
          <w:szCs w:val="24"/>
          <w:lang w:val="pl-PL"/>
        </w:rPr>
        <w:t>styka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pl-PL"/>
        </w:rPr>
        <w:t>monitorowanie leczenia zakażenia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HCV wymaga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wykrycia testami ilościowymi i jakościowymi 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>kwas</w:t>
      </w:r>
      <w:r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nukleinow</w:t>
      </w:r>
      <w:r>
        <w:rPr>
          <w:rFonts w:ascii="Times New Roman" w:hAnsi="Times New Roman" w:cs="Times New Roman"/>
          <w:sz w:val="24"/>
          <w:szCs w:val="24"/>
          <w:lang w:val="pl-PL"/>
        </w:rPr>
        <w:t>ych HCV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. W dobie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terapii lekami 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>bezpośredni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działa</w:t>
      </w:r>
      <w:r>
        <w:rPr>
          <w:rFonts w:ascii="Times New Roman" w:hAnsi="Times New Roman" w:cs="Times New Roman"/>
          <w:sz w:val="24"/>
          <w:szCs w:val="24"/>
          <w:lang w:val="pl-PL"/>
        </w:rPr>
        <w:t>jącymi na wirusa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(DAA)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niezbędne 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>jest opracowanie taniej i prostej metody zastępującej reakcję łańcuchow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polimerazy.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powodu braku 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dostępnych danych </w:t>
      </w:r>
      <w:r>
        <w:rPr>
          <w:rFonts w:ascii="Times New Roman" w:hAnsi="Times New Roman" w:cs="Times New Roman"/>
          <w:sz w:val="24"/>
          <w:szCs w:val="24"/>
          <w:lang w:val="pl-PL"/>
        </w:rPr>
        <w:t>w postaci oceny kinetyki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antygenu rdzeniowego HCV (</w:t>
      </w:r>
      <w:proofErr w:type="spellStart"/>
      <w:r w:rsidRPr="000D2A16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0D2A16">
        <w:rPr>
          <w:rFonts w:ascii="Times New Roman" w:hAnsi="Times New Roman" w:cs="Times New Roman"/>
          <w:sz w:val="24"/>
          <w:szCs w:val="24"/>
          <w:lang w:val="pl-PL"/>
        </w:rPr>
        <w:t>) w porównaniu do kinetyki HCV RNA we wczesnej fazie leczenia za pomocą DAA, przeprowadziliśmy badani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w celu oceny </w:t>
      </w:r>
      <w:r>
        <w:rPr>
          <w:rFonts w:ascii="Times New Roman" w:hAnsi="Times New Roman" w:cs="Times New Roman"/>
          <w:sz w:val="24"/>
          <w:szCs w:val="24"/>
          <w:lang w:val="pl-PL"/>
        </w:rPr>
        <w:t>potencjalnego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zastosowania ilościowego pomiaru </w:t>
      </w:r>
      <w:proofErr w:type="spellStart"/>
      <w:r w:rsidRPr="000D2A16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0D2A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monitorowaniu </w:t>
      </w:r>
      <w:r w:rsidRPr="000D2A16">
        <w:rPr>
          <w:rFonts w:ascii="Times New Roman" w:hAnsi="Times New Roman" w:cs="Times New Roman"/>
          <w:sz w:val="24"/>
          <w:szCs w:val="24"/>
          <w:lang w:val="pl-PL"/>
        </w:rPr>
        <w:t>leczenia zakażenia HCV.</w:t>
      </w:r>
    </w:p>
    <w:p w:rsidR="00CC5DC0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badania włączono 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>33 zakaż</w:t>
      </w:r>
      <w:r>
        <w:rPr>
          <w:rFonts w:ascii="Times New Roman" w:hAnsi="Times New Roman" w:cs="Times New Roman"/>
          <w:sz w:val="24"/>
          <w:szCs w:val="24"/>
          <w:lang w:val="pl-PL"/>
        </w:rPr>
        <w:t>onych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HCV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którzy otrzymali leczenie zestawami leków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ombitaswir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parytaprewir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rytonawir±dasabuvir±rybawiryna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(OBV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>/PRV/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 ±DSV ±RBV) lub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ledipaswir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sofosbuwir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(LDV/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SOF).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celu 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ilościowego oznaczenia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HCV 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RNA i </w:t>
      </w:r>
      <w:proofErr w:type="spellStart"/>
      <w:r w:rsidRPr="003479A5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pobrano krew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przed leczeniem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, po 1, 7, 28 dniach </w:t>
      </w:r>
      <w:r>
        <w:rPr>
          <w:rFonts w:ascii="Times New Roman" w:hAnsi="Times New Roman" w:cs="Times New Roman"/>
          <w:sz w:val="24"/>
          <w:szCs w:val="24"/>
          <w:lang w:val="pl-PL"/>
        </w:rPr>
        <w:t>od jego rozpoczęcia,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zakończeni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leczenia, a następnie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>12 i 24 tygodni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 jego zakończeniu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C5DC0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Wykazano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dodatnią korelację pomiędzy </w:t>
      </w:r>
      <w:r>
        <w:rPr>
          <w:rFonts w:ascii="Times New Roman" w:hAnsi="Times New Roman" w:cs="Times New Roman"/>
          <w:sz w:val="24"/>
          <w:szCs w:val="24"/>
          <w:lang w:val="pl-PL"/>
        </w:rPr>
        <w:t>stężeniem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479A5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i HCV RNA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przed rozpoczęciem leczenia 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i po 1 dniu leczenia.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trakcie leczenia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rednie stężenie </w:t>
      </w:r>
      <w:proofErr w:type="spellStart"/>
      <w:r w:rsidRPr="003479A5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obniżało się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szybciej niż </w:t>
      </w:r>
      <w:r>
        <w:rPr>
          <w:rFonts w:ascii="Times New Roman" w:hAnsi="Times New Roman" w:cs="Times New Roman"/>
          <w:sz w:val="24"/>
          <w:szCs w:val="24"/>
          <w:lang w:val="pl-PL"/>
        </w:rPr>
        <w:t>stężenie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HCV RNA</w:t>
      </w:r>
      <w:r>
        <w:rPr>
          <w:rFonts w:ascii="Times New Roman" w:hAnsi="Times New Roman" w:cs="Times New Roman"/>
          <w:sz w:val="24"/>
          <w:szCs w:val="24"/>
          <w:lang w:val="pl-PL"/>
        </w:rPr>
        <w:t>. W 4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tygodniu HCV RNA było niewykrywalne 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24, podczas gdy </w:t>
      </w:r>
      <w:proofErr w:type="spellStart"/>
      <w:r w:rsidRPr="003479A5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u 28 pacjentów. Pod koniec leczenia i po 12 tygodniach obserwacji wszyscy pacjenci </w:t>
      </w:r>
      <w:r>
        <w:rPr>
          <w:rFonts w:ascii="Times New Roman" w:hAnsi="Times New Roman" w:cs="Times New Roman"/>
          <w:sz w:val="24"/>
          <w:szCs w:val="24"/>
          <w:lang w:val="pl-PL"/>
        </w:rPr>
        <w:t>mieli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niewykrywaln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 zarówno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HCV </w:t>
      </w:r>
      <w:r w:rsidRPr="003479A5">
        <w:rPr>
          <w:rFonts w:ascii="Times New Roman" w:hAnsi="Times New Roman" w:cs="Times New Roman"/>
          <w:sz w:val="24"/>
          <w:szCs w:val="24"/>
          <w:lang w:val="pl-PL"/>
        </w:rPr>
        <w:t xml:space="preserve">RNA, jak i </w:t>
      </w:r>
      <w:proofErr w:type="spellStart"/>
      <w:r w:rsidRPr="003479A5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3479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C5DC0" w:rsidRPr="000D2A16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Uzyskane wyniki wskazują, że oznaczanie s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>tężeni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E0B95"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mo</w:t>
      </w:r>
      <w:r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być przydatne w 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>przewidywa</w:t>
      </w:r>
      <w:r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trwałej 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>odpowiedź wirusologiczn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Prosta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procedur</w:t>
      </w:r>
      <w:r>
        <w:rPr>
          <w:rFonts w:ascii="Times New Roman" w:hAnsi="Times New Roman" w:cs="Times New Roman"/>
          <w:sz w:val="24"/>
          <w:szCs w:val="24"/>
          <w:lang w:val="pl-PL"/>
        </w:rPr>
        <w:t>a badania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HCVcAg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i znacznie niższe koszty w porównaniu z </w:t>
      </w:r>
      <w:r>
        <w:rPr>
          <w:rFonts w:ascii="Times New Roman" w:hAnsi="Times New Roman" w:cs="Times New Roman"/>
          <w:sz w:val="24"/>
          <w:szCs w:val="24"/>
          <w:lang w:val="pl-PL"/>
        </w:rPr>
        <w:t>badaniem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HCV RNA </w:t>
      </w:r>
      <w:r>
        <w:rPr>
          <w:rFonts w:ascii="Times New Roman" w:hAnsi="Times New Roman" w:cs="Times New Roman"/>
          <w:sz w:val="24"/>
          <w:szCs w:val="24"/>
          <w:lang w:val="pl-PL"/>
        </w:rPr>
        <w:t>umożliwiają zastąpienie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metody PCR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monitorowaniu leczenia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przeciwwirusowego u </w:t>
      </w:r>
      <w:r w:rsidRPr="00BE0B95">
        <w:rPr>
          <w:rFonts w:ascii="Times New Roman" w:hAnsi="Times New Roman" w:cs="Times New Roman"/>
          <w:sz w:val="24"/>
          <w:szCs w:val="24"/>
          <w:lang w:val="pl-PL"/>
        </w:rPr>
        <w:t>większości pacjentów zakażonych HCV.</w:t>
      </w:r>
    </w:p>
    <w:p w:rsidR="00CC5DC0" w:rsidRPr="002F4419" w:rsidRDefault="00CC5DC0" w:rsidP="00CC5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C5DC0" w:rsidRPr="00537215" w:rsidRDefault="00CC5DC0" w:rsidP="00CC5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CC5DC0" w:rsidRPr="00537215">
          <w:headerReference w:type="default" r:id="rId4"/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5DC0" w:rsidRPr="00E73799" w:rsidRDefault="00CC5DC0" w:rsidP="00CC5DC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</w:t>
      </w:r>
      <w:r w:rsidRPr="00E73799">
        <w:rPr>
          <w:rFonts w:ascii="Times New Roman" w:hAnsi="Times New Roman" w:cs="Times New Roman"/>
          <w:sz w:val="24"/>
          <w:szCs w:val="24"/>
        </w:rPr>
        <w:t xml:space="preserve">: </w:t>
      </w:r>
      <w:r w:rsidRPr="00F01921">
        <w:rPr>
          <w:rFonts w:ascii="Times New Roman" w:hAnsi="Times New Roman" w:cs="Times New Roman"/>
          <w:b/>
          <w:bCs/>
          <w:sz w:val="24"/>
          <w:szCs w:val="24"/>
        </w:rPr>
        <w:t>Quantitative measurement of HCV core antigen for management of interferon-free therapy in HCV-infected patients.</w:t>
      </w:r>
    </w:p>
    <w:p w:rsidR="00CC5DC0" w:rsidRPr="00F83927" w:rsidRDefault="00CC5DC0" w:rsidP="00CC5D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7430">
        <w:rPr>
          <w:rFonts w:ascii="Times New Roman" w:hAnsi="Times New Roman" w:cs="Times New Roman"/>
          <w:sz w:val="24"/>
          <w:szCs w:val="24"/>
        </w:rPr>
        <w:t xml:space="preserve">Published in: </w:t>
      </w:r>
      <w:r w:rsidRPr="00687430">
        <w:rPr>
          <w:rFonts w:ascii="Times New Roman" w:hAnsi="Times New Roman" w:cs="Times New Roman"/>
          <w:b/>
          <w:sz w:val="24"/>
          <w:szCs w:val="24"/>
        </w:rPr>
        <w:t xml:space="preserve">Antiviral Therapy 2017 Oct 10. </w:t>
      </w:r>
      <w:proofErr w:type="spellStart"/>
      <w:r w:rsidRPr="00687430">
        <w:rPr>
          <w:rFonts w:ascii="Times New Roman" w:hAnsi="Times New Roman" w:cs="Times New Roman"/>
          <w:b/>
          <w:sz w:val="24"/>
          <w:szCs w:val="24"/>
        </w:rPr>
        <w:t>doi</w:t>
      </w:r>
      <w:proofErr w:type="spellEnd"/>
      <w:r w:rsidRPr="00687430">
        <w:rPr>
          <w:rFonts w:ascii="Times New Roman" w:hAnsi="Times New Roman" w:cs="Times New Roman"/>
          <w:b/>
          <w:sz w:val="24"/>
          <w:szCs w:val="24"/>
        </w:rPr>
        <w:t xml:space="preserve">: 10.3851/IMP3190. </w:t>
      </w:r>
      <w:r w:rsidRPr="00F83927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in press</w:t>
      </w:r>
      <w:r w:rsidRPr="00F83927">
        <w:rPr>
          <w:rFonts w:ascii="Times New Roman" w:hAnsi="Times New Roman" w:cs="Times New Roman"/>
          <w:b/>
          <w:sz w:val="24"/>
          <w:szCs w:val="24"/>
        </w:rPr>
        <w:t>]</w:t>
      </w:r>
    </w:p>
    <w:p w:rsidR="00CC5DC0" w:rsidRPr="00F83927" w:rsidRDefault="00CC5DC0" w:rsidP="00CC5D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927">
        <w:rPr>
          <w:rFonts w:ascii="Times New Roman" w:hAnsi="Times New Roman" w:cs="Times New Roman"/>
          <w:sz w:val="24"/>
          <w:szCs w:val="24"/>
        </w:rPr>
        <w:t xml:space="preserve">Authors: </w:t>
      </w:r>
      <w:proofErr w:type="spellStart"/>
      <w:r w:rsidRPr="00F83927">
        <w:rPr>
          <w:rFonts w:ascii="Times New Roman" w:hAnsi="Times New Roman" w:cs="Times New Roman"/>
          <w:b/>
          <w:sz w:val="24"/>
          <w:szCs w:val="24"/>
        </w:rPr>
        <w:t>Mariusz</w:t>
      </w:r>
      <w:proofErr w:type="spellEnd"/>
      <w:r w:rsidRPr="00F83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927">
        <w:rPr>
          <w:rFonts w:ascii="Times New Roman" w:hAnsi="Times New Roman" w:cs="Times New Roman"/>
          <w:b/>
          <w:sz w:val="24"/>
          <w:szCs w:val="24"/>
        </w:rPr>
        <w:t>Łucejko</w:t>
      </w:r>
      <w:proofErr w:type="spellEnd"/>
      <w:r w:rsidRPr="00F83927">
        <w:rPr>
          <w:rFonts w:ascii="Times New Roman" w:hAnsi="Times New Roman" w:cs="Times New Roman"/>
          <w:b/>
          <w:sz w:val="24"/>
          <w:szCs w:val="24"/>
        </w:rPr>
        <w:t xml:space="preserve">, Robert </w:t>
      </w:r>
      <w:proofErr w:type="spellStart"/>
      <w:r w:rsidRPr="00F83927">
        <w:rPr>
          <w:rFonts w:ascii="Times New Roman" w:hAnsi="Times New Roman" w:cs="Times New Roman"/>
          <w:b/>
          <w:sz w:val="24"/>
          <w:szCs w:val="24"/>
        </w:rPr>
        <w:t>Flisiak</w:t>
      </w:r>
      <w:proofErr w:type="spellEnd"/>
    </w:p>
    <w:p w:rsidR="00CC5DC0" w:rsidRDefault="00CC5DC0" w:rsidP="00CC5DC0">
      <w:pPr>
        <w:rPr>
          <w:rFonts w:ascii="Times New Roman" w:hAnsi="Times New Roman" w:cs="Times New Roman"/>
          <w:b/>
          <w:sz w:val="28"/>
          <w:szCs w:val="28"/>
        </w:rPr>
      </w:pPr>
    </w:p>
    <w:p w:rsidR="00CC5DC0" w:rsidRDefault="00CC5DC0" w:rsidP="00CC5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CC5DC0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27">
        <w:rPr>
          <w:rFonts w:ascii="Times New Roman" w:hAnsi="Times New Roman" w:cs="Times New Roman"/>
          <w:sz w:val="24"/>
          <w:szCs w:val="24"/>
        </w:rPr>
        <w:t>According to current recommendations diagnosis and management of HCV infection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detection and quantification of nucleic acids.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era of direct-acting antivirals (DAA) it is essential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develop an inexpensive and simple method replacing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polymerase chain reaction. Since there is no 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data on HCV core antigen (</w:t>
      </w:r>
      <w:proofErr w:type="spellStart"/>
      <w:r w:rsidRPr="00FF7E27">
        <w:rPr>
          <w:rFonts w:ascii="Times New Roman" w:hAnsi="Times New Roman" w:cs="Times New Roman"/>
          <w:sz w:val="24"/>
          <w:szCs w:val="24"/>
        </w:rPr>
        <w:t>HCVcAg</w:t>
      </w:r>
      <w:proofErr w:type="spellEnd"/>
      <w:r w:rsidRPr="00FF7E27">
        <w:rPr>
          <w:rFonts w:ascii="Times New Roman" w:hAnsi="Times New Roman" w:cs="Times New Roman"/>
          <w:sz w:val="24"/>
          <w:szCs w:val="24"/>
        </w:rPr>
        <w:t>) versus HCV 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kinetics in the early phase of treatment with DAA,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carried out this study to evaluate the possible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FF7E27">
        <w:rPr>
          <w:rFonts w:ascii="Times New Roman" w:hAnsi="Times New Roman" w:cs="Times New Roman"/>
          <w:sz w:val="24"/>
          <w:szCs w:val="24"/>
        </w:rPr>
        <w:t>HCVcAg</w:t>
      </w:r>
      <w:proofErr w:type="spellEnd"/>
      <w:r w:rsidRPr="00FF7E27">
        <w:rPr>
          <w:rFonts w:ascii="Times New Roman" w:hAnsi="Times New Roman" w:cs="Times New Roman"/>
          <w:sz w:val="24"/>
          <w:szCs w:val="24"/>
        </w:rPr>
        <w:t xml:space="preserve"> quantitative measurement for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of HCV infection.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C0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three</w:t>
      </w:r>
      <w:r w:rsidRPr="00FF7E27">
        <w:rPr>
          <w:rFonts w:ascii="Times New Roman" w:hAnsi="Times New Roman" w:cs="Times New Roman"/>
          <w:sz w:val="24"/>
          <w:szCs w:val="24"/>
        </w:rPr>
        <w:t xml:space="preserve"> patients with HCV infection were enrolled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 xml:space="preserve">and treated with either </w:t>
      </w:r>
      <w:proofErr w:type="spellStart"/>
      <w:r w:rsidRPr="00FF7E2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bitasvir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paritaprevir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ritonavir</w:t>
      </w:r>
      <w:r w:rsidRPr="00FF7E27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>dasabuvir±ribavirin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(OBV/PRV/r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>±DSV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sz w:val="24"/>
          <w:szCs w:val="24"/>
        </w:rPr>
        <w:t xml:space="preserve">±RBV) or </w:t>
      </w:r>
      <w:proofErr w:type="spellStart"/>
      <w:r w:rsidRPr="00FF7E27">
        <w:rPr>
          <w:rFonts w:ascii="Times New Roman" w:hAnsi="Times New Roman" w:cs="Times New Roman"/>
          <w:sz w:val="24"/>
          <w:szCs w:val="24"/>
        </w:rPr>
        <w:t>ledipasvir</w:t>
      </w:r>
      <w:proofErr w:type="spellEnd"/>
      <w:r w:rsidRPr="00FF7E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7E27">
        <w:rPr>
          <w:rFonts w:ascii="Times New Roman" w:hAnsi="Times New Roman" w:cs="Times New Roman"/>
          <w:sz w:val="24"/>
          <w:szCs w:val="24"/>
        </w:rPr>
        <w:t>sofosbuvir</w:t>
      </w:r>
      <w:proofErr w:type="spellEnd"/>
      <w:r w:rsidRPr="00FF7E27">
        <w:rPr>
          <w:rFonts w:ascii="Times New Roman" w:hAnsi="Times New Roman" w:cs="Times New Roman"/>
          <w:sz w:val="24"/>
          <w:szCs w:val="24"/>
        </w:rPr>
        <w:t xml:space="preserve"> (LDV/SOF). Samples for quantitative HCV RNA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F7E27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FF7E27">
        <w:rPr>
          <w:rFonts w:ascii="Times New Roman" w:hAnsi="Times New Roman" w:cs="Times New Roman"/>
          <w:sz w:val="24"/>
          <w:szCs w:val="24"/>
        </w:rPr>
        <w:t>HCVcAg</w:t>
      </w:r>
      <w:proofErr w:type="spellEnd"/>
      <w:r w:rsidRPr="00FF7E27">
        <w:rPr>
          <w:rFonts w:ascii="Times New Roman" w:hAnsi="Times New Roman" w:cs="Times New Roman"/>
          <w:sz w:val="24"/>
          <w:szCs w:val="24"/>
        </w:rPr>
        <w:t xml:space="preserve"> measurement were collected at the baseline,</w:t>
      </w:r>
      <w:r w:rsidRPr="00FF7E27">
        <w:rPr>
          <w:rFonts w:ascii="RotisSemiSansStd-Bold" w:hAnsi="RotisSemiSansStd-Bold" w:cs="RotisSemiSansStd-Bold"/>
          <w:b/>
          <w:bCs/>
          <w:sz w:val="19"/>
          <w:szCs w:val="19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after 1, 7, 28 days and at the end of treatment, and then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after 12 and 24 weeks of post-treatment follow-up.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DC0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E27">
        <w:rPr>
          <w:rFonts w:ascii="Times New Roman" w:hAnsi="Times New Roman" w:cs="Times New Roman"/>
          <w:bCs/>
          <w:sz w:val="24"/>
          <w:szCs w:val="24"/>
        </w:rPr>
        <w:t xml:space="preserve">There was positive correlation between </w:t>
      </w:r>
      <w:proofErr w:type="spellStart"/>
      <w:r w:rsidRPr="00FF7E27">
        <w:rPr>
          <w:rFonts w:ascii="Times New Roman" w:hAnsi="Times New Roman" w:cs="Times New Roman"/>
          <w:bCs/>
          <w:sz w:val="24"/>
          <w:szCs w:val="24"/>
        </w:rPr>
        <w:t>HCVcAg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and HCV RNA levels at the baseline and after 1 day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 xml:space="preserve">treatment. Mean </w:t>
      </w:r>
      <w:proofErr w:type="spellStart"/>
      <w:r w:rsidRPr="00FF7E27">
        <w:rPr>
          <w:rFonts w:ascii="Times New Roman" w:hAnsi="Times New Roman" w:cs="Times New Roman"/>
          <w:bCs/>
          <w:sz w:val="24"/>
          <w:szCs w:val="24"/>
        </w:rPr>
        <w:t>HCVcAg</w:t>
      </w:r>
      <w:proofErr w:type="spellEnd"/>
      <w:r w:rsidRPr="00FF7E27">
        <w:rPr>
          <w:rFonts w:ascii="Times New Roman" w:hAnsi="Times New Roman" w:cs="Times New Roman"/>
          <w:bCs/>
          <w:sz w:val="24"/>
          <w:szCs w:val="24"/>
        </w:rPr>
        <w:t xml:space="preserve"> concentration declined faster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than HCV RNA levels during the treatment phase. At week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 xml:space="preserve">4 HCV RNA was undetectable in 24, whereas </w:t>
      </w:r>
      <w:proofErr w:type="spellStart"/>
      <w:r w:rsidRPr="00FF7E27">
        <w:rPr>
          <w:rFonts w:ascii="Times New Roman" w:hAnsi="Times New Roman" w:cs="Times New Roman"/>
          <w:bCs/>
          <w:sz w:val="24"/>
          <w:szCs w:val="24"/>
        </w:rPr>
        <w:t>HCVcAg</w:t>
      </w:r>
      <w:proofErr w:type="spellEnd"/>
      <w:r w:rsidRPr="00FF7E27">
        <w:rPr>
          <w:rFonts w:ascii="Times New Roman" w:hAnsi="Times New Roman" w:cs="Times New Roman"/>
          <w:bCs/>
          <w:sz w:val="24"/>
          <w:szCs w:val="24"/>
        </w:rPr>
        <w:t xml:space="preserve">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28 patients. At the end of treatment and after 12 weeks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of follow-up all patients were undetectable for both HCV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 xml:space="preserve">RNA and </w:t>
      </w:r>
      <w:proofErr w:type="spellStart"/>
      <w:r w:rsidRPr="00FF7E27">
        <w:rPr>
          <w:rFonts w:ascii="Times New Roman" w:hAnsi="Times New Roman" w:cs="Times New Roman"/>
          <w:bCs/>
          <w:sz w:val="24"/>
          <w:szCs w:val="24"/>
        </w:rPr>
        <w:t>HCVcAg</w:t>
      </w:r>
      <w:proofErr w:type="spellEnd"/>
      <w:r w:rsidRPr="00FF7E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DC0" w:rsidRPr="00CC5DC0" w:rsidRDefault="00CC5DC0" w:rsidP="00CC5D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CC5DC0" w:rsidRPr="00CC5D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0295">
        <w:rPr>
          <w:rFonts w:ascii="Times New Roman" w:hAnsi="Times New Roman" w:cs="Times New Roman"/>
          <w:bCs/>
          <w:sz w:val="24"/>
          <w:szCs w:val="24"/>
        </w:rPr>
        <w:t>The obtained results indicate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E27">
        <w:rPr>
          <w:rFonts w:ascii="Times New Roman" w:hAnsi="Times New Roman" w:cs="Times New Roman"/>
          <w:bCs/>
          <w:sz w:val="24"/>
          <w:szCs w:val="24"/>
        </w:rPr>
        <w:t>HCVcAg</w:t>
      </w:r>
      <w:proofErr w:type="spellEnd"/>
      <w:r w:rsidRPr="00FF7E27">
        <w:rPr>
          <w:rFonts w:ascii="Times New Roman" w:hAnsi="Times New Roman" w:cs="Times New Roman"/>
          <w:bCs/>
          <w:sz w:val="24"/>
          <w:szCs w:val="24"/>
        </w:rPr>
        <w:t xml:space="preserve"> concentration and its early 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treatment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 xml:space="preserve">testing can predict </w:t>
      </w:r>
      <w:proofErr w:type="spellStart"/>
      <w:r w:rsidRPr="00FF7E27">
        <w:rPr>
          <w:rFonts w:ascii="Times New Roman" w:hAnsi="Times New Roman" w:cs="Times New Roman"/>
          <w:bCs/>
          <w:sz w:val="24"/>
          <w:szCs w:val="24"/>
        </w:rPr>
        <w:t>virological</w:t>
      </w:r>
      <w:proofErr w:type="spellEnd"/>
      <w:r w:rsidRPr="00FF7E27">
        <w:rPr>
          <w:rFonts w:ascii="Times New Roman" w:hAnsi="Times New Roman" w:cs="Times New Roman"/>
          <w:bCs/>
          <w:sz w:val="24"/>
          <w:szCs w:val="24"/>
        </w:rPr>
        <w:t xml:space="preserve"> response. Simple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testing procedures and significantly lower cost compared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to HCV RNA testing support possible replacement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E27">
        <w:rPr>
          <w:rFonts w:ascii="Times New Roman" w:hAnsi="Times New Roman" w:cs="Times New Roman"/>
          <w:bCs/>
          <w:sz w:val="24"/>
          <w:szCs w:val="24"/>
        </w:rPr>
        <w:t>viral load measurement in management of the majority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HCV-infected patients.</w:t>
      </w:r>
    </w:p>
    <w:p w:rsidR="00772319" w:rsidRDefault="00772319">
      <w:bookmarkStart w:id="0" w:name="_GoBack"/>
      <w:bookmarkEnd w:id="0"/>
    </w:p>
    <w:sectPr w:rsidR="0077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tisSemiSansStd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lang w:val="pl-PL"/>
      </w:rPr>
      <w:id w:val="-1307309888"/>
      <w:docPartObj>
        <w:docPartGallery w:val="Page Numbers (Bottom of Page)"/>
        <w:docPartUnique/>
      </w:docPartObj>
    </w:sdtPr>
    <w:sdtEndPr/>
    <w:sdtContent>
      <w:p w:rsidR="003E2585" w:rsidRPr="00311C28" w:rsidRDefault="00CC5DC0">
        <w:pPr>
          <w:pStyle w:val="Stopka"/>
          <w:jc w:val="right"/>
          <w:rPr>
            <w:rFonts w:ascii="Times New Roman" w:hAnsi="Times New Roman" w:cs="Times New Roman"/>
            <w:b/>
          </w:rPr>
        </w:pPr>
        <w:r w:rsidRPr="00311C28">
          <w:rPr>
            <w:rFonts w:ascii="Times New Roman" w:hAnsi="Times New Roman" w:cs="Times New Roman"/>
            <w:b/>
            <w:lang w:val="pl-PL"/>
          </w:rPr>
          <w:t>|</w:t>
        </w:r>
        <w:r w:rsidRPr="00311C28">
          <w:rPr>
            <w:rFonts w:ascii="Times New Roman" w:hAnsi="Times New Roman" w:cs="Times New Roman"/>
            <w:b/>
          </w:rPr>
          <w:t>63</w:t>
        </w:r>
        <w:r w:rsidRPr="00311C28">
          <w:rPr>
            <w:rFonts w:ascii="Times New Roman" w:hAnsi="Times New Roman" w:cs="Times New Roman"/>
            <w:b/>
            <w:lang w:val="pl-PL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lang w:val="pl-PL"/>
      </w:rPr>
      <w:id w:val="-1788804479"/>
      <w:docPartObj>
        <w:docPartGallery w:val="Page Numbers (Bottom of Page)"/>
        <w:docPartUnique/>
      </w:docPartObj>
    </w:sdtPr>
    <w:sdtEndPr/>
    <w:sdtContent>
      <w:p w:rsidR="00311C28" w:rsidRPr="00311C28" w:rsidRDefault="00CC5DC0">
        <w:pPr>
          <w:pStyle w:val="Stopka"/>
          <w:jc w:val="right"/>
          <w:rPr>
            <w:rFonts w:ascii="Times New Roman" w:hAnsi="Times New Roman" w:cs="Times New Roman"/>
            <w:b/>
          </w:rPr>
        </w:pPr>
        <w:r w:rsidRPr="00311C28">
          <w:rPr>
            <w:rFonts w:ascii="Times New Roman" w:hAnsi="Times New Roman" w:cs="Times New Roman"/>
            <w:b/>
            <w:lang w:val="pl-PL"/>
          </w:rPr>
          <w:t>|</w:t>
        </w:r>
        <w:r>
          <w:rPr>
            <w:rFonts w:ascii="Times New Roman" w:hAnsi="Times New Roman" w:cs="Times New Roman"/>
            <w:b/>
          </w:rPr>
          <w:t>64</w:t>
        </w:r>
        <w:r w:rsidRPr="00311C28">
          <w:rPr>
            <w:rFonts w:ascii="Times New Roman" w:hAnsi="Times New Roman" w:cs="Times New Roman"/>
            <w:b/>
            <w:lang w:val="pl-PL"/>
          </w:rP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85" w:rsidRDefault="00CC5DC0" w:rsidP="004650E7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proofErr w:type="spellStart"/>
    <w:r w:rsidRPr="00545B26">
      <w:rPr>
        <w:rFonts w:ascii="Times New Roman" w:hAnsi="Times New Roman" w:cs="Times New Roman"/>
        <w:b/>
        <w:sz w:val="20"/>
        <w:szCs w:val="20"/>
      </w:rPr>
      <w:t>Mariusz</w:t>
    </w:r>
    <w:proofErr w:type="spellEnd"/>
    <w:r w:rsidRPr="00545B26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545B26">
      <w:rPr>
        <w:rFonts w:ascii="Times New Roman" w:hAnsi="Times New Roman" w:cs="Times New Roman"/>
        <w:b/>
        <w:sz w:val="20"/>
        <w:szCs w:val="20"/>
      </w:rPr>
      <w:t>Łucejko</w:t>
    </w:r>
    <w:proofErr w:type="spellEnd"/>
  </w:p>
  <w:p w:rsidR="003E2585" w:rsidRDefault="00CC5DC0" w:rsidP="004650E7">
    <w:pPr>
      <w:spacing w:after="0" w:line="240" w:lineRule="auto"/>
    </w:pPr>
    <w:proofErr w:type="spellStart"/>
    <w:r>
      <w:rPr>
        <w:rFonts w:ascii="Times New Roman" w:hAnsi="Times New Roman" w:cs="Times New Roman"/>
        <w:b/>
        <w:sz w:val="20"/>
        <w:szCs w:val="20"/>
      </w:rPr>
      <w:t>Rozprawa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0"/>
      </w:rPr>
      <w:t>doktorska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0"/>
    <w:rsid w:val="00772319"/>
    <w:rsid w:val="00C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F807"/>
  <w15:chartTrackingRefBased/>
  <w15:docId w15:val="{E10C5904-62B1-4E49-A2CF-0EB537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DC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D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2018-05-11T13:06:00Z</dcterms:created>
  <dcterms:modified xsi:type="dcterms:W3CDTF">2018-05-11T13:09:00Z</dcterms:modified>
</cp:coreProperties>
</file>