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82" w:rsidRPr="00515F02" w:rsidRDefault="00C10982" w:rsidP="00C1098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Book Antiqua" w:hAnsi="Book Antiqua" w:cs="AdvOT07517017"/>
          <w:b/>
        </w:rPr>
      </w:pPr>
      <w:r w:rsidRPr="00515F02">
        <w:rPr>
          <w:rFonts w:ascii="Book Antiqua" w:hAnsi="Book Antiqua" w:cs="AdvOT07517017"/>
          <w:b/>
        </w:rPr>
        <w:t>10.</w:t>
      </w:r>
      <w:r w:rsidRPr="00515F02">
        <w:rPr>
          <w:rFonts w:ascii="Book Antiqua" w:hAnsi="Book Antiqua" w:cs="AdvOT07517017"/>
          <w:b/>
        </w:rPr>
        <w:tab/>
        <w:t>STRESZCZENIE W JĘZYKU POLSKIM</w:t>
      </w:r>
    </w:p>
    <w:p w:rsidR="00C10982" w:rsidRPr="00515F02" w:rsidRDefault="00C10982" w:rsidP="00C1098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dvOT07517017"/>
          <w:b/>
        </w:rPr>
      </w:pPr>
    </w:p>
    <w:p w:rsidR="00C10982" w:rsidRPr="00515F02" w:rsidRDefault="00C10982" w:rsidP="00C1098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</w:rPr>
      </w:pPr>
      <w:r w:rsidRPr="00515F02">
        <w:rPr>
          <w:rFonts w:ascii="Book Antiqua" w:hAnsi="Book Antiqua" w:cs="AdvOT07517017"/>
        </w:rPr>
        <w:tab/>
        <w:t xml:space="preserve">Znaczącą rolę w inicjowaniu i nasileniu reakcji zapalenia alergicznego w przebiegu chorób alergicznych, takich </w:t>
      </w:r>
      <w:r>
        <w:rPr>
          <w:rFonts w:ascii="Book Antiqua" w:hAnsi="Book Antiqua" w:cs="AdvOT07517017"/>
        </w:rPr>
        <w:t xml:space="preserve">jak </w:t>
      </w:r>
      <w:r w:rsidRPr="00515F02">
        <w:rPr>
          <w:rFonts w:ascii="Book Antiqua" w:hAnsi="Book Antiqua" w:cs="AdvOT07517017"/>
        </w:rPr>
        <w:t>alergiczny nieżyt błony śluzowej nosa</w:t>
      </w:r>
      <w:r>
        <w:rPr>
          <w:rFonts w:ascii="Book Antiqua" w:hAnsi="Book Antiqua" w:cs="AdvOT07517017"/>
        </w:rPr>
        <w:t xml:space="preserve">, </w:t>
      </w:r>
      <w:r w:rsidRPr="00515F02">
        <w:rPr>
          <w:rFonts w:ascii="Book Antiqua" w:hAnsi="Book Antiqua" w:cs="AdvOT07517017"/>
        </w:rPr>
        <w:t xml:space="preserve"> a</w:t>
      </w:r>
      <w:r>
        <w:rPr>
          <w:rFonts w:ascii="Book Antiqua" w:hAnsi="Book Antiqua" w:cs="AdvOT07517017"/>
        </w:rPr>
        <w:t>stma oskrzelowa czy atopowe zapalenie skóry</w:t>
      </w:r>
      <w:r w:rsidRPr="00515F02">
        <w:rPr>
          <w:rFonts w:ascii="Book Antiqua" w:hAnsi="Book Antiqua" w:cs="AdvOT07517017"/>
        </w:rPr>
        <w:t xml:space="preserve"> odgrywają limfocyty CD4</w:t>
      </w:r>
      <w:r w:rsidRPr="00515F02">
        <w:rPr>
          <w:rFonts w:ascii="Book Antiqua" w:hAnsi="Book Antiqua" w:cs="AdvOT07517017"/>
          <w:vertAlign w:val="superscript"/>
        </w:rPr>
        <w:t xml:space="preserve">+ </w:t>
      </w:r>
      <w:r w:rsidRPr="00515F02">
        <w:rPr>
          <w:rFonts w:ascii="Book Antiqua" w:hAnsi="Book Antiqua" w:cs="AdvOT07517017"/>
        </w:rPr>
        <w:t>o fenotypie Th2, syntetyzujące m.in. IL-4, IL-5 i IL-13. Stosunkowo niedawno scharakteryzowano subpopulację komórek CD4</w:t>
      </w:r>
      <w:r w:rsidRPr="00515F02">
        <w:rPr>
          <w:rFonts w:ascii="Book Antiqua" w:hAnsi="Book Antiqua" w:cs="AdvOT07517017"/>
          <w:vertAlign w:val="superscript"/>
        </w:rPr>
        <w:t xml:space="preserve">+ </w:t>
      </w:r>
      <w:r w:rsidRPr="00515F02">
        <w:rPr>
          <w:rFonts w:ascii="Book Antiqua" w:hAnsi="Book Antiqua" w:cs="AdvOT07517017"/>
        </w:rPr>
        <w:t xml:space="preserve">o aktywności </w:t>
      </w:r>
      <w:proofErr w:type="spellStart"/>
      <w:r w:rsidRPr="00515F02">
        <w:rPr>
          <w:rFonts w:ascii="Book Antiqua" w:hAnsi="Book Antiqua" w:cs="AdvOT07517017"/>
        </w:rPr>
        <w:t>supresorowej</w:t>
      </w:r>
      <w:proofErr w:type="spellEnd"/>
      <w:r w:rsidRPr="00515F02">
        <w:rPr>
          <w:rFonts w:ascii="Book Antiqua" w:hAnsi="Book Antiqua" w:cs="AdvOT07517017"/>
        </w:rPr>
        <w:t xml:space="preserve"> i określono ją mianem komórek T regulatorowych (</w:t>
      </w:r>
      <w:proofErr w:type="spellStart"/>
      <w:r w:rsidRPr="00515F02">
        <w:rPr>
          <w:rFonts w:ascii="Book Antiqua" w:hAnsi="Book Antiqua" w:cs="AdvOT07517017"/>
        </w:rPr>
        <w:t>Treg</w:t>
      </w:r>
      <w:proofErr w:type="spellEnd"/>
      <w:r w:rsidRPr="00515F02">
        <w:rPr>
          <w:rFonts w:ascii="Book Antiqua" w:hAnsi="Book Antiqua" w:cs="AdvOT07517017"/>
        </w:rPr>
        <w:t xml:space="preserve">). Cechą wyróżniającą komórki </w:t>
      </w:r>
      <w:proofErr w:type="spellStart"/>
      <w:r w:rsidRPr="00515F02">
        <w:rPr>
          <w:rFonts w:ascii="Book Antiqua" w:hAnsi="Book Antiqua" w:cs="AdvOT07517017"/>
        </w:rPr>
        <w:t>Treg</w:t>
      </w:r>
      <w:proofErr w:type="spellEnd"/>
      <w:r w:rsidRPr="00515F02">
        <w:rPr>
          <w:rFonts w:ascii="Book Antiqua" w:hAnsi="Book Antiqua" w:cs="AdvOT07517017"/>
        </w:rPr>
        <w:t xml:space="preserve"> jest </w:t>
      </w:r>
      <w:proofErr w:type="spellStart"/>
      <w:r w:rsidRPr="00515F02">
        <w:rPr>
          <w:rFonts w:ascii="Book Antiqua" w:hAnsi="Book Antiqua" w:cs="AdvOT07517017"/>
        </w:rPr>
        <w:t>koekspresja</w:t>
      </w:r>
      <w:proofErr w:type="spellEnd"/>
      <w:r w:rsidRPr="00515F02">
        <w:rPr>
          <w:rFonts w:ascii="Book Antiqua" w:hAnsi="Book Antiqua" w:cs="AdvOT07517017"/>
        </w:rPr>
        <w:t xml:space="preserve"> receptora CD25 i czynnika transkrypcyjnego FoxP3 oraz niska </w:t>
      </w:r>
      <w:r>
        <w:rPr>
          <w:rFonts w:ascii="Book Antiqua" w:hAnsi="Book Antiqua" w:cs="AdvOT07517017"/>
        </w:rPr>
        <w:t>ekspresja</w:t>
      </w:r>
      <w:r w:rsidRPr="00515F02">
        <w:rPr>
          <w:rFonts w:ascii="Book Antiqua" w:hAnsi="Book Antiqua" w:cs="AdvOT07517017"/>
        </w:rPr>
        <w:t xml:space="preserve"> receptora CD127</w:t>
      </w:r>
      <w:r w:rsidRPr="0076679F">
        <w:rPr>
          <w:rFonts w:ascii="Book Antiqua" w:hAnsi="Book Antiqua" w:cs="AdvOT07517017"/>
        </w:rPr>
        <w:t xml:space="preserve"> </w:t>
      </w:r>
      <w:r w:rsidRPr="00515F02">
        <w:rPr>
          <w:rFonts w:ascii="Book Antiqua" w:hAnsi="Book Antiqua" w:cs="AdvOT07517017"/>
        </w:rPr>
        <w:t>lub</w:t>
      </w:r>
      <w:r>
        <w:rPr>
          <w:rFonts w:ascii="Book Antiqua" w:hAnsi="Book Antiqua" w:cs="AdvOT07517017"/>
        </w:rPr>
        <w:t xml:space="preserve"> jej</w:t>
      </w:r>
      <w:r w:rsidRPr="00515F02">
        <w:rPr>
          <w:rFonts w:ascii="Book Antiqua" w:hAnsi="Book Antiqua" w:cs="AdvOT07517017"/>
        </w:rPr>
        <w:t xml:space="preserve"> brak. W doświadczeniach </w:t>
      </w:r>
      <w:r w:rsidRPr="00515F02">
        <w:rPr>
          <w:rFonts w:ascii="Book Antiqua" w:hAnsi="Book Antiqua" w:cs="AdvOT07517017"/>
          <w:i/>
        </w:rPr>
        <w:t xml:space="preserve">in vitro </w:t>
      </w:r>
      <w:r w:rsidRPr="00515F02">
        <w:rPr>
          <w:rFonts w:ascii="Book Antiqua" w:hAnsi="Book Antiqua" w:cs="AdvOT07517017"/>
        </w:rPr>
        <w:t xml:space="preserve">dowiedziono roli komórek </w:t>
      </w:r>
      <w:proofErr w:type="spellStart"/>
      <w:r w:rsidRPr="00515F02">
        <w:rPr>
          <w:rFonts w:ascii="Book Antiqua" w:hAnsi="Book Antiqua" w:cs="AdvOT07517017"/>
        </w:rPr>
        <w:t>Treg</w:t>
      </w:r>
      <w:proofErr w:type="spellEnd"/>
      <w:r w:rsidRPr="00515F02">
        <w:rPr>
          <w:rFonts w:ascii="Book Antiqua" w:hAnsi="Book Antiqua" w:cs="AdvOT07517017"/>
        </w:rPr>
        <w:t xml:space="preserve"> w hamowaniu proliferacji komórek Th2. </w:t>
      </w:r>
    </w:p>
    <w:p w:rsidR="00C10982" w:rsidRPr="00515F02" w:rsidRDefault="00C10982" w:rsidP="00C1098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</w:rPr>
      </w:pPr>
      <w:r w:rsidRPr="00515F02">
        <w:rPr>
          <w:rFonts w:ascii="Book Antiqua" w:hAnsi="Book Antiqua" w:cs="AdvOT07517017"/>
        </w:rPr>
        <w:tab/>
        <w:t xml:space="preserve">Immunoterapia </w:t>
      </w:r>
      <w:proofErr w:type="spellStart"/>
      <w:r w:rsidRPr="00515F02">
        <w:rPr>
          <w:rFonts w:ascii="Book Antiqua" w:hAnsi="Book Antiqua" w:cs="AdvOT07517017"/>
        </w:rPr>
        <w:t>alergenowa</w:t>
      </w:r>
      <w:proofErr w:type="spellEnd"/>
      <w:r w:rsidRPr="00515F02">
        <w:rPr>
          <w:rFonts w:ascii="Book Antiqua" w:hAnsi="Book Antiqua" w:cs="AdvOT07517017"/>
        </w:rPr>
        <w:t xml:space="preserve"> (AIT) polega na podawaniu osobie uczulonej drogą iniekcji lub podjęzykowo stopniowo wzrastających, a następnie podtrzymujących dawek szczepionki zawierającej alergen. Celem tego rodzaju terapii jest wytworzenie stanu tolerancji na uczulający alergen, manifestującej się ograniczeniem nasilenia lub eliminacją objawów klinicznych choroby alergicznej. Jednym z rozważanych mechanizmów wpływających</w:t>
      </w:r>
      <w:r>
        <w:rPr>
          <w:rFonts w:ascii="Book Antiqua" w:hAnsi="Book Antiqua" w:cs="AdvOT07517017"/>
        </w:rPr>
        <w:t xml:space="preserve"> na skuteczność immunoterapii </w:t>
      </w:r>
      <w:proofErr w:type="spellStart"/>
      <w:r w:rsidRPr="00515F02">
        <w:rPr>
          <w:rFonts w:ascii="Book Antiqua" w:hAnsi="Book Antiqua" w:cs="AdvOT07517017"/>
        </w:rPr>
        <w:t>alergenowej</w:t>
      </w:r>
      <w:proofErr w:type="spellEnd"/>
      <w:r w:rsidRPr="00515F02">
        <w:rPr>
          <w:rFonts w:ascii="Book Antiqua" w:hAnsi="Book Antiqua" w:cs="AdvOT07517017"/>
        </w:rPr>
        <w:t xml:space="preserve"> jest supresja limfocytów Th2. Biorąc pod uwagę zależności pomiędzy limfocytami </w:t>
      </w:r>
      <w:proofErr w:type="spellStart"/>
      <w:r w:rsidRPr="00515F02">
        <w:rPr>
          <w:rFonts w:ascii="Book Antiqua" w:hAnsi="Book Antiqua" w:cs="AdvOT07517017"/>
        </w:rPr>
        <w:t>Treg</w:t>
      </w:r>
      <w:proofErr w:type="spellEnd"/>
      <w:r w:rsidRPr="00515F02">
        <w:rPr>
          <w:rFonts w:ascii="Book Antiqua" w:hAnsi="Book Antiqua" w:cs="AdvOT07517017"/>
        </w:rPr>
        <w:t xml:space="preserve"> i Th2, dysfunkcja komórek T re</w:t>
      </w:r>
      <w:r>
        <w:rPr>
          <w:rFonts w:ascii="Book Antiqua" w:hAnsi="Book Antiqua" w:cs="AdvOT07517017"/>
        </w:rPr>
        <w:t>gulatorowych może stanowić jedną</w:t>
      </w:r>
      <w:r w:rsidRPr="00515F02">
        <w:rPr>
          <w:rFonts w:ascii="Book Antiqua" w:hAnsi="Book Antiqua" w:cs="AdvOT07517017"/>
        </w:rPr>
        <w:t xml:space="preserve"> z przyczyn indukcji i nasilenia reakcji alergicznej. U osób poddanych immunoterapii </w:t>
      </w:r>
      <w:proofErr w:type="spellStart"/>
      <w:r w:rsidRPr="00515F02">
        <w:rPr>
          <w:rFonts w:ascii="Book Antiqua" w:hAnsi="Book Antiqua" w:cs="AdvOT07517017"/>
        </w:rPr>
        <w:t>alergenowej</w:t>
      </w:r>
      <w:proofErr w:type="spellEnd"/>
      <w:r w:rsidRPr="00515F02">
        <w:rPr>
          <w:rFonts w:ascii="Book Antiqua" w:hAnsi="Book Antiqua" w:cs="AdvOT07517017"/>
        </w:rPr>
        <w:t xml:space="preserve"> ocena zmiany aktywacji komórek </w:t>
      </w:r>
      <w:proofErr w:type="spellStart"/>
      <w:r w:rsidRPr="00515F02">
        <w:rPr>
          <w:rFonts w:ascii="Book Antiqua" w:hAnsi="Book Antiqua" w:cs="AdvOT07517017"/>
        </w:rPr>
        <w:t>Treg</w:t>
      </w:r>
      <w:proofErr w:type="spellEnd"/>
      <w:r w:rsidRPr="00515F02">
        <w:rPr>
          <w:rFonts w:ascii="Book Antiqua" w:hAnsi="Book Antiqua" w:cs="AdvOT07517017"/>
        </w:rPr>
        <w:t xml:space="preserve"> mogłaby służyć, jako wskaźnik indukcji tolerancji na alergen.</w:t>
      </w:r>
    </w:p>
    <w:p w:rsidR="00C10982" w:rsidRPr="00515F02" w:rsidRDefault="00C10982" w:rsidP="00C1098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  <w:color w:val="000000" w:themeColor="text1"/>
        </w:rPr>
      </w:pPr>
      <w:r w:rsidRPr="00515F02">
        <w:rPr>
          <w:rFonts w:ascii="Book Antiqua" w:hAnsi="Book Antiqua" w:cs="AdvOT07517017"/>
        </w:rPr>
        <w:tab/>
        <w:t xml:space="preserve">Wobec przedstawionych powyżej danych za cel pracy przyjęto ocenę roli komórek T regulatorowych w indukcji tolerancji </w:t>
      </w:r>
      <w:proofErr w:type="spellStart"/>
      <w:r w:rsidRPr="00515F02">
        <w:rPr>
          <w:rFonts w:ascii="Book Antiqua" w:hAnsi="Book Antiqua" w:cs="AdvOT07517017"/>
        </w:rPr>
        <w:t>alergenowej</w:t>
      </w:r>
      <w:proofErr w:type="spellEnd"/>
      <w:r w:rsidRPr="00515F02">
        <w:rPr>
          <w:rFonts w:ascii="Book Antiqua" w:hAnsi="Book Antiqua" w:cs="AdvOT07517017"/>
        </w:rPr>
        <w:t xml:space="preserve"> u pacjentów chorujących na okresowy alergiczny </w:t>
      </w:r>
      <w:r w:rsidRPr="00515F02">
        <w:rPr>
          <w:rFonts w:ascii="Book Antiqua" w:hAnsi="Book Antiqua" w:cs="AdvOT07517017"/>
          <w:color w:val="000000" w:themeColor="text1"/>
        </w:rPr>
        <w:t xml:space="preserve">nieżyt nosa (IAR), uczulonych na </w:t>
      </w:r>
      <w:r>
        <w:rPr>
          <w:rFonts w:ascii="Book Antiqua" w:hAnsi="Book Antiqua" w:cs="AdvOT07517017"/>
          <w:color w:val="000000" w:themeColor="text1"/>
        </w:rPr>
        <w:t>alergeny pyłków</w:t>
      </w:r>
      <w:r w:rsidRPr="00515F02">
        <w:rPr>
          <w:rFonts w:ascii="Book Antiqua" w:hAnsi="Book Antiqua" w:cs="AdvOT07517017"/>
          <w:color w:val="000000" w:themeColor="text1"/>
        </w:rPr>
        <w:t xml:space="preserve"> traw, poddanych immunoterapii </w:t>
      </w:r>
      <w:proofErr w:type="spellStart"/>
      <w:r w:rsidRPr="00515F02">
        <w:rPr>
          <w:rFonts w:ascii="Book Antiqua" w:hAnsi="Book Antiqua" w:cs="AdvOT07517017"/>
          <w:color w:val="000000" w:themeColor="text1"/>
        </w:rPr>
        <w:t>alergenowej</w:t>
      </w:r>
      <w:proofErr w:type="spellEnd"/>
      <w:r w:rsidRPr="00515F02">
        <w:rPr>
          <w:rFonts w:ascii="Book Antiqua" w:hAnsi="Book Antiqua" w:cs="AdvOT07517017"/>
          <w:color w:val="000000" w:themeColor="text1"/>
        </w:rPr>
        <w:t>.</w:t>
      </w:r>
    </w:p>
    <w:p w:rsidR="00C10982" w:rsidRPr="00515F02" w:rsidRDefault="00C10982" w:rsidP="00C1098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  <w:color w:val="000000" w:themeColor="text1"/>
        </w:rPr>
      </w:pPr>
      <w:r w:rsidRPr="00515F02">
        <w:rPr>
          <w:rFonts w:ascii="Book Antiqua" w:hAnsi="Book Antiqua" w:cs="AdvOT07517017"/>
          <w:color w:val="000000" w:themeColor="text1"/>
        </w:rPr>
        <w:tab/>
        <w:t>Badaniami objęto grupę 90 pacjentów obojga płci</w:t>
      </w:r>
      <w:r>
        <w:rPr>
          <w:rFonts w:ascii="Book Antiqua" w:hAnsi="Book Antiqua" w:cs="AdvOT07517017"/>
          <w:color w:val="000000" w:themeColor="text1"/>
        </w:rPr>
        <w:t>,</w:t>
      </w:r>
      <w:r w:rsidRPr="00515F02">
        <w:rPr>
          <w:rFonts w:ascii="Book Antiqua" w:hAnsi="Book Antiqua" w:cs="AdvOT07517017"/>
          <w:color w:val="000000" w:themeColor="text1"/>
        </w:rPr>
        <w:t xml:space="preserve"> w wieku od 21. do 62.</w:t>
      </w:r>
      <w:r>
        <w:rPr>
          <w:rFonts w:ascii="Book Antiqua" w:hAnsi="Book Antiqua" w:cs="AdvOT07517017"/>
          <w:color w:val="000000" w:themeColor="text1"/>
        </w:rPr>
        <w:t xml:space="preserve"> roku życia (średnia 38,5</w:t>
      </w:r>
      <w:r w:rsidRPr="00515F02">
        <w:rPr>
          <w:rFonts w:ascii="Book Antiqua" w:hAnsi="Book Antiqua" w:cs="AdvOT07517017"/>
          <w:color w:val="000000" w:themeColor="text1"/>
        </w:rPr>
        <w:sym w:font="Symbol" w:char="F0B1"/>
      </w:r>
      <w:r w:rsidRPr="00515F02">
        <w:rPr>
          <w:rFonts w:ascii="Book Antiqua" w:hAnsi="Book Antiqua" w:cs="AdvOT07517017"/>
          <w:color w:val="000000" w:themeColor="text1"/>
        </w:rPr>
        <w:t>12,3 lata)</w:t>
      </w:r>
      <w:r>
        <w:rPr>
          <w:rFonts w:ascii="Book Antiqua" w:hAnsi="Book Antiqua" w:cs="AdvOT07517017"/>
          <w:color w:val="000000" w:themeColor="text1"/>
        </w:rPr>
        <w:t>,</w:t>
      </w:r>
      <w:r w:rsidRPr="00515F02">
        <w:rPr>
          <w:rFonts w:ascii="Book Antiqua" w:hAnsi="Book Antiqua" w:cs="AdvOT07517017"/>
          <w:color w:val="000000" w:themeColor="text1"/>
        </w:rPr>
        <w:t xml:space="preserve"> uczulonych na </w:t>
      </w:r>
      <w:r>
        <w:rPr>
          <w:rFonts w:ascii="Book Antiqua" w:hAnsi="Book Antiqua" w:cs="AdvOT07517017"/>
          <w:color w:val="000000" w:themeColor="text1"/>
        </w:rPr>
        <w:t>alergeny pyłków</w:t>
      </w:r>
      <w:r w:rsidRPr="00515F02">
        <w:rPr>
          <w:rFonts w:ascii="Book Antiqua" w:hAnsi="Book Antiqua" w:cs="AdvOT07517017"/>
          <w:color w:val="000000" w:themeColor="text1"/>
        </w:rPr>
        <w:t xml:space="preserve"> traw, chorujących na okresowy alergiczny nieżyt nosa, z co najmniej dwuletnim wywiadem chorobowym. Rozpoznanie oparto o powszechnie stosowane </w:t>
      </w:r>
      <w:r>
        <w:rPr>
          <w:rFonts w:ascii="Book Antiqua" w:hAnsi="Book Antiqua" w:cs="AdvOT07517017"/>
          <w:color w:val="000000" w:themeColor="text1"/>
        </w:rPr>
        <w:t>kryteria, według których</w:t>
      </w:r>
      <w:r w:rsidRPr="00515F02">
        <w:rPr>
          <w:rFonts w:ascii="Book Antiqua" w:hAnsi="Book Antiqua" w:cs="AdvOT07517017"/>
          <w:color w:val="000000" w:themeColor="text1"/>
        </w:rPr>
        <w:t xml:space="preserve"> pacjentów kwalifikowano ze względu na występowanie </w:t>
      </w:r>
      <w:r>
        <w:rPr>
          <w:rFonts w:ascii="Book Antiqua" w:hAnsi="Book Antiqua" w:cs="AdvOT07517017"/>
          <w:color w:val="000000" w:themeColor="text1"/>
        </w:rPr>
        <w:t xml:space="preserve">objawów </w:t>
      </w:r>
      <w:r w:rsidRPr="00515F02">
        <w:rPr>
          <w:rFonts w:ascii="Book Antiqua" w:hAnsi="Book Antiqua" w:cs="AdvOT07517017"/>
          <w:color w:val="000000" w:themeColor="text1"/>
        </w:rPr>
        <w:t xml:space="preserve">IAR przez </w:t>
      </w:r>
      <w:r>
        <w:rPr>
          <w:rFonts w:ascii="Book Antiqua" w:hAnsi="Book Antiqua" w:cs="AdvOT07517017"/>
          <w:color w:val="000000" w:themeColor="text1"/>
        </w:rPr>
        <w:t>okres krótszy</w:t>
      </w:r>
      <w:r w:rsidRPr="00515F02">
        <w:rPr>
          <w:rFonts w:ascii="Book Antiqua" w:hAnsi="Book Antiqua" w:cs="AdvOT07517017"/>
          <w:color w:val="000000" w:themeColor="text1"/>
        </w:rPr>
        <w:t xml:space="preserve"> niż 4 dni w tygodniu lub przez okres krótszy niż 4 kolejne tygodnie w ciągu roku. U </w:t>
      </w:r>
      <w:r w:rsidRPr="00515F02">
        <w:rPr>
          <w:rFonts w:ascii="Book Antiqua" w:hAnsi="Book Antiqua" w:cs="AdvOT07517017"/>
          <w:color w:val="000000" w:themeColor="text1"/>
        </w:rPr>
        <w:lastRenderedPageBreak/>
        <w:t xml:space="preserve">wszystkich pacjentów stosowano immunoterapię </w:t>
      </w:r>
      <w:proofErr w:type="spellStart"/>
      <w:r w:rsidRPr="00515F02">
        <w:rPr>
          <w:rFonts w:ascii="Book Antiqua" w:hAnsi="Book Antiqua" w:cs="AdvOT07517017"/>
          <w:color w:val="000000" w:themeColor="text1"/>
        </w:rPr>
        <w:t>alergenową</w:t>
      </w:r>
      <w:proofErr w:type="spellEnd"/>
      <w:r w:rsidRPr="00515F02">
        <w:rPr>
          <w:rFonts w:ascii="Book Antiqua" w:hAnsi="Book Antiqua" w:cs="AdvOT07517017"/>
          <w:color w:val="000000" w:themeColor="text1"/>
        </w:rPr>
        <w:t xml:space="preserve"> preparatem </w:t>
      </w:r>
      <w:proofErr w:type="spellStart"/>
      <w:r w:rsidRPr="00515F02">
        <w:rPr>
          <w:rFonts w:ascii="Book Antiqua" w:hAnsi="Book Antiqua" w:cs="AdvOT07517017"/>
          <w:color w:val="000000" w:themeColor="text1"/>
        </w:rPr>
        <w:t>Purethal</w:t>
      </w:r>
      <w:proofErr w:type="spellEnd"/>
      <w:r w:rsidRPr="00515F02">
        <w:rPr>
          <w:rFonts w:ascii="Book Antiqua" w:hAnsi="Book Antiqua" w:cs="AdvOT07517017"/>
          <w:color w:val="000000" w:themeColor="text1"/>
        </w:rPr>
        <w:t xml:space="preserve"> trawy (Hal </w:t>
      </w:r>
      <w:proofErr w:type="spellStart"/>
      <w:r w:rsidRPr="00515F02">
        <w:rPr>
          <w:rFonts w:ascii="Book Antiqua" w:hAnsi="Book Antiqua" w:cs="AdvOT07517017"/>
          <w:color w:val="000000" w:themeColor="text1"/>
        </w:rPr>
        <w:t>Allergy</w:t>
      </w:r>
      <w:proofErr w:type="spellEnd"/>
      <w:r w:rsidRPr="00515F02">
        <w:rPr>
          <w:rFonts w:ascii="Book Antiqua" w:hAnsi="Book Antiqua" w:cs="AdvOT07517017"/>
          <w:color w:val="000000" w:themeColor="text1"/>
        </w:rPr>
        <w:t xml:space="preserve"> B. V.</w:t>
      </w:r>
      <w:r>
        <w:rPr>
          <w:rFonts w:ascii="Book Antiqua" w:hAnsi="Book Antiqua" w:cs="AdvOT07517017"/>
          <w:color w:val="000000" w:themeColor="text1"/>
        </w:rPr>
        <w:t xml:space="preserve"> </w:t>
      </w:r>
      <w:proofErr w:type="spellStart"/>
      <w:r>
        <w:rPr>
          <w:rFonts w:ascii="Book Antiqua" w:hAnsi="Book Antiqua" w:cs="AdvOT07517017"/>
          <w:color w:val="000000" w:themeColor="text1"/>
        </w:rPr>
        <w:t>Leiden</w:t>
      </w:r>
      <w:proofErr w:type="spellEnd"/>
      <w:r>
        <w:rPr>
          <w:rFonts w:ascii="Book Antiqua" w:hAnsi="Book Antiqua" w:cs="AdvOT07517017"/>
          <w:color w:val="000000" w:themeColor="text1"/>
        </w:rPr>
        <w:t>, Holandia) przez okres trzech</w:t>
      </w:r>
      <w:r w:rsidRPr="00515F02">
        <w:rPr>
          <w:rFonts w:ascii="Book Antiqua" w:hAnsi="Book Antiqua" w:cs="AdvOT07517017"/>
          <w:color w:val="000000" w:themeColor="text1"/>
        </w:rPr>
        <w:t xml:space="preserve"> lat. Grupę kontrolną stanowiło 30 pacjentów uczulonych na </w:t>
      </w:r>
      <w:r>
        <w:rPr>
          <w:rFonts w:ascii="Book Antiqua" w:hAnsi="Book Antiqua" w:cs="AdvOT07517017"/>
          <w:color w:val="000000" w:themeColor="text1"/>
        </w:rPr>
        <w:t>alergeny pyłków</w:t>
      </w:r>
      <w:r w:rsidRPr="00515F02">
        <w:rPr>
          <w:rFonts w:ascii="Book Antiqua" w:hAnsi="Book Antiqua" w:cs="AdvOT07517017"/>
          <w:color w:val="000000" w:themeColor="text1"/>
        </w:rPr>
        <w:t xml:space="preserve"> traw, chorujących na okresowy alergiczny nieżyt nosa, niepo</w:t>
      </w:r>
      <w:r>
        <w:rPr>
          <w:rFonts w:ascii="Book Antiqua" w:hAnsi="Book Antiqua" w:cs="AdvOT07517017"/>
          <w:color w:val="000000" w:themeColor="text1"/>
        </w:rPr>
        <w:t>dda</w:t>
      </w:r>
      <w:r w:rsidRPr="00515F02">
        <w:rPr>
          <w:rFonts w:ascii="Book Antiqua" w:hAnsi="Book Antiqua" w:cs="AdvOT07517017"/>
          <w:color w:val="000000" w:themeColor="text1"/>
        </w:rPr>
        <w:t>nych AIT.</w:t>
      </w:r>
    </w:p>
    <w:p w:rsidR="00C10982" w:rsidRPr="00515F02" w:rsidRDefault="00C10982" w:rsidP="00C1098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  <w:color w:val="000000" w:themeColor="text1"/>
        </w:rPr>
      </w:pPr>
      <w:r>
        <w:rPr>
          <w:rFonts w:ascii="Book Antiqua" w:hAnsi="Book Antiqua" w:cs="AdvOT07517017"/>
          <w:color w:val="000000" w:themeColor="text1"/>
        </w:rPr>
        <w:t>W celu prześ</w:t>
      </w:r>
      <w:r w:rsidRPr="00515F02">
        <w:rPr>
          <w:rFonts w:ascii="Book Antiqua" w:hAnsi="Book Antiqua" w:cs="AdvOT07517017"/>
          <w:color w:val="000000" w:themeColor="text1"/>
        </w:rPr>
        <w:t xml:space="preserve">ledzenia dynamiki zmian ocenianych parametrów u każdego pacjenta badania przeprowadzono w okresie nasilonej ekspozycji </w:t>
      </w:r>
      <w:proofErr w:type="spellStart"/>
      <w:r w:rsidRPr="00515F02">
        <w:rPr>
          <w:rFonts w:ascii="Book Antiqua" w:hAnsi="Book Antiqua" w:cs="AdvOT07517017"/>
          <w:color w:val="000000" w:themeColor="text1"/>
        </w:rPr>
        <w:t>alergenowej</w:t>
      </w:r>
      <w:proofErr w:type="spellEnd"/>
      <w:r w:rsidRPr="00515F02">
        <w:rPr>
          <w:rFonts w:ascii="Book Antiqua" w:hAnsi="Book Antiqua" w:cs="AdvOT07517017"/>
          <w:color w:val="000000" w:themeColor="text1"/>
        </w:rPr>
        <w:t xml:space="preserve"> od początku czerwca do końca lipca (ocena letnia) oraz poza sezonem pylenia od początku stycznia do końca lutego (ocena zimowa).</w:t>
      </w:r>
    </w:p>
    <w:p w:rsidR="00C10982" w:rsidRPr="00515F02" w:rsidRDefault="00C10982" w:rsidP="00C10982">
      <w:pPr>
        <w:pStyle w:val="Tekstpodstawowy"/>
        <w:spacing w:line="360" w:lineRule="auto"/>
        <w:ind w:firstLine="708"/>
        <w:jc w:val="both"/>
        <w:rPr>
          <w:rFonts w:ascii="Book Antiqua" w:hAnsi="Book Antiqua"/>
          <w:szCs w:val="24"/>
          <w:lang w:val="pl-PL"/>
        </w:rPr>
      </w:pPr>
      <w:r w:rsidRPr="00515F02">
        <w:rPr>
          <w:rFonts w:ascii="Book Antiqua" w:hAnsi="Book Antiqua" w:cs="AdvOT07517017"/>
          <w:color w:val="000000" w:themeColor="text1"/>
        </w:rPr>
        <w:t>Materiałem biologicznym wykorzystywanym do badań była krew żylna pobierana do probówek z antykoagulantem</w:t>
      </w:r>
      <w:r>
        <w:rPr>
          <w:rFonts w:ascii="Book Antiqua" w:hAnsi="Book Antiqua" w:cs="AdvOT07517017"/>
          <w:color w:val="000000" w:themeColor="text1"/>
        </w:rPr>
        <w:t xml:space="preserve"> EDTA oraz bez antykoagulantu (na skrzep</w:t>
      </w:r>
      <w:r w:rsidRPr="00515F02">
        <w:rPr>
          <w:rFonts w:ascii="Book Antiqua" w:hAnsi="Book Antiqua" w:cs="AdvOT07517017"/>
          <w:color w:val="000000" w:themeColor="text1"/>
        </w:rPr>
        <w:t>).</w:t>
      </w:r>
      <w:r w:rsidRPr="000442D4">
        <w:rPr>
          <w:rFonts w:ascii="Book Antiqua" w:hAnsi="Book Antiqua"/>
          <w:color w:val="FF0000"/>
          <w:szCs w:val="24"/>
          <w:lang w:val="pl-PL"/>
        </w:rPr>
        <w:t xml:space="preserve"> </w:t>
      </w:r>
    </w:p>
    <w:p w:rsidR="00C10982" w:rsidRPr="00515F02" w:rsidRDefault="00C10982" w:rsidP="00C1098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  <w:color w:val="000000" w:themeColor="text1"/>
        </w:rPr>
      </w:pPr>
      <w:r>
        <w:rPr>
          <w:rFonts w:ascii="Book Antiqua" w:hAnsi="Book Antiqua" w:cs="AdvOT07517017"/>
          <w:color w:val="000000" w:themeColor="text1"/>
        </w:rPr>
        <w:tab/>
      </w:r>
      <w:r w:rsidRPr="00515F02">
        <w:rPr>
          <w:rFonts w:ascii="Book Antiqua" w:hAnsi="Book Antiqua" w:cs="AdvOT07517017"/>
          <w:color w:val="000000" w:themeColor="text1"/>
        </w:rPr>
        <w:t xml:space="preserve">W badaniach laboratoryjnych u każdego badanego </w:t>
      </w:r>
      <w:r>
        <w:rPr>
          <w:rFonts w:ascii="Book Antiqua" w:hAnsi="Book Antiqua" w:cs="AdvOT07517017"/>
          <w:color w:val="000000" w:themeColor="text1"/>
        </w:rPr>
        <w:t xml:space="preserve">dokonano </w:t>
      </w:r>
      <w:r w:rsidRPr="00515F02">
        <w:rPr>
          <w:rFonts w:ascii="Book Antiqua" w:hAnsi="Book Antiqua" w:cs="AdvOT07517017"/>
          <w:color w:val="000000" w:themeColor="text1"/>
        </w:rPr>
        <w:t>ocen</w:t>
      </w:r>
      <w:r>
        <w:rPr>
          <w:rFonts w:ascii="Book Antiqua" w:hAnsi="Book Antiqua" w:cs="AdvOT07517017"/>
          <w:color w:val="000000" w:themeColor="text1"/>
        </w:rPr>
        <w:t>y stężeń</w:t>
      </w:r>
      <w:r w:rsidRPr="00515F02">
        <w:rPr>
          <w:rFonts w:ascii="Book Antiqua" w:hAnsi="Book Antiqua" w:cs="AdvOT07517017"/>
          <w:color w:val="000000" w:themeColor="text1"/>
        </w:rPr>
        <w:t xml:space="preserve"> </w:t>
      </w:r>
      <w:r>
        <w:rPr>
          <w:rFonts w:ascii="Book Antiqua" w:hAnsi="Book Antiqua" w:cs="AdvOT07517017"/>
          <w:color w:val="000000" w:themeColor="text1"/>
        </w:rPr>
        <w:t xml:space="preserve">immunoglobuliny </w:t>
      </w:r>
      <w:r w:rsidRPr="00515F02">
        <w:rPr>
          <w:rFonts w:ascii="Book Antiqua" w:hAnsi="Book Antiqua" w:cs="AdvOT07517017"/>
          <w:color w:val="000000" w:themeColor="text1"/>
        </w:rPr>
        <w:t xml:space="preserve">E całkowitej i </w:t>
      </w:r>
      <w:proofErr w:type="spellStart"/>
      <w:r w:rsidRPr="00515F02">
        <w:rPr>
          <w:rFonts w:ascii="Book Antiqua" w:hAnsi="Book Antiqua" w:cs="AdvOT07517017"/>
          <w:color w:val="000000" w:themeColor="text1"/>
        </w:rPr>
        <w:t>alergenowo-swoistych</w:t>
      </w:r>
      <w:proofErr w:type="spellEnd"/>
      <w:r w:rsidRPr="00515F02">
        <w:rPr>
          <w:rFonts w:ascii="Book Antiqua" w:hAnsi="Book Antiqua" w:cs="AdvOT07517017"/>
          <w:color w:val="000000" w:themeColor="text1"/>
        </w:rPr>
        <w:t xml:space="preserve"> w </w:t>
      </w:r>
      <w:r>
        <w:rPr>
          <w:rFonts w:ascii="Book Antiqua" w:hAnsi="Book Antiqua" w:cs="AdvOT07517017"/>
          <w:color w:val="000000" w:themeColor="text1"/>
        </w:rPr>
        <w:t>surowicy oraz wartości odsetkowych i bezwzględnych</w:t>
      </w:r>
      <w:r w:rsidRPr="00515F02">
        <w:rPr>
          <w:rFonts w:ascii="Book Antiqua" w:hAnsi="Book Antiqua" w:cs="AdvOT07517017"/>
          <w:color w:val="000000" w:themeColor="text1"/>
        </w:rPr>
        <w:t xml:space="preserve"> limfocytów krwi obwodowej</w:t>
      </w:r>
      <w:r>
        <w:rPr>
          <w:rFonts w:ascii="Book Antiqua" w:hAnsi="Book Antiqua" w:cs="AdvOT07517017"/>
          <w:color w:val="000000" w:themeColor="text1"/>
        </w:rPr>
        <w:t>, wartości odsetkowych subpopulacji limfocytów T</w:t>
      </w:r>
      <w:r w:rsidRPr="00515F02">
        <w:rPr>
          <w:rFonts w:ascii="Book Antiqua" w:hAnsi="Book Antiqua" w:cs="AdvOT07517017"/>
          <w:color w:val="000000" w:themeColor="text1"/>
        </w:rPr>
        <w:t xml:space="preserve"> CD3</w:t>
      </w:r>
      <w:r w:rsidRPr="00515F02">
        <w:rPr>
          <w:rFonts w:ascii="Book Antiqua" w:hAnsi="Book Antiqua" w:cs="AdvOT07517017"/>
          <w:color w:val="000000" w:themeColor="text1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</w:rPr>
        <w:t>, CD4</w:t>
      </w:r>
      <w:r w:rsidRPr="00515F02">
        <w:rPr>
          <w:rFonts w:ascii="Book Antiqua" w:hAnsi="Book Antiqua" w:cs="AdvOT07517017"/>
          <w:color w:val="000000" w:themeColor="text1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</w:rPr>
        <w:t>, CD8</w:t>
      </w:r>
      <w:r w:rsidRPr="00515F02">
        <w:rPr>
          <w:rFonts w:ascii="Book Antiqua" w:hAnsi="Book Antiqua" w:cs="AdvOT07517017"/>
          <w:color w:val="000000" w:themeColor="text1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</w:rPr>
        <w:t>,</w:t>
      </w:r>
      <w:r>
        <w:rPr>
          <w:rFonts w:ascii="Book Antiqua" w:hAnsi="Book Antiqua" w:cs="AdvOT07517017"/>
          <w:color w:val="000000" w:themeColor="text1"/>
        </w:rPr>
        <w:t xml:space="preserve"> limfocytów B</w:t>
      </w:r>
      <w:r w:rsidRPr="00515F02">
        <w:rPr>
          <w:rFonts w:ascii="Book Antiqua" w:hAnsi="Book Antiqua" w:cs="AdvOT07517017"/>
          <w:color w:val="000000" w:themeColor="text1"/>
        </w:rPr>
        <w:t xml:space="preserve"> CD19</w:t>
      </w:r>
      <w:r w:rsidRPr="00515F02">
        <w:rPr>
          <w:rFonts w:ascii="Book Antiqua" w:hAnsi="Book Antiqua" w:cs="AdvOT07517017"/>
          <w:color w:val="000000" w:themeColor="text1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</w:rPr>
        <w:t>,</w:t>
      </w:r>
      <w:r>
        <w:rPr>
          <w:rFonts w:ascii="Book Antiqua" w:hAnsi="Book Antiqua" w:cs="AdvOT07517017"/>
          <w:color w:val="000000" w:themeColor="text1"/>
        </w:rPr>
        <w:t xml:space="preserve"> komórek NK</w:t>
      </w:r>
      <w:r w:rsidRPr="00515F02">
        <w:rPr>
          <w:rFonts w:ascii="Book Antiqua" w:hAnsi="Book Antiqua" w:cs="AdvOT07517017"/>
          <w:color w:val="000000" w:themeColor="text1"/>
        </w:rPr>
        <w:t xml:space="preserve"> CD16</w:t>
      </w:r>
      <w:r w:rsidRPr="00515F02">
        <w:rPr>
          <w:rFonts w:ascii="Book Antiqua" w:hAnsi="Book Antiqua" w:cs="AdvOT07517017"/>
          <w:color w:val="000000" w:themeColor="text1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</w:rPr>
        <w:t>CD56</w:t>
      </w:r>
      <w:r w:rsidRPr="00515F02">
        <w:rPr>
          <w:rFonts w:ascii="Book Antiqua" w:hAnsi="Book Antiqua" w:cs="AdvOT07517017"/>
          <w:color w:val="000000" w:themeColor="text1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</w:rPr>
        <w:t xml:space="preserve">, </w:t>
      </w:r>
      <w:r>
        <w:rPr>
          <w:rFonts w:ascii="Book Antiqua" w:hAnsi="Book Antiqua" w:cs="AdvOT07517017"/>
          <w:color w:val="000000" w:themeColor="text1"/>
        </w:rPr>
        <w:t>wartości odsetkowe populacji limfocytów CD3</w:t>
      </w:r>
      <w:r w:rsidRPr="00FE7F0B">
        <w:rPr>
          <w:rFonts w:ascii="Book Antiqua" w:hAnsi="Book Antiqua" w:cs="AdvOT07517017"/>
          <w:color w:val="000000" w:themeColor="text1"/>
          <w:vertAlign w:val="superscript"/>
        </w:rPr>
        <w:t>+</w:t>
      </w:r>
      <w:r>
        <w:rPr>
          <w:rFonts w:ascii="Book Antiqua" w:hAnsi="Book Antiqua" w:cs="AdvOT07517017"/>
          <w:color w:val="000000" w:themeColor="text1"/>
        </w:rPr>
        <w:t>, CD4</w:t>
      </w:r>
      <w:r w:rsidRPr="004678C8">
        <w:rPr>
          <w:rFonts w:ascii="Book Antiqua" w:hAnsi="Book Antiqua" w:cs="AdvOT07517017"/>
          <w:color w:val="000000" w:themeColor="text1"/>
          <w:vertAlign w:val="superscript"/>
        </w:rPr>
        <w:t>+</w:t>
      </w:r>
      <w:r>
        <w:rPr>
          <w:rFonts w:ascii="Book Antiqua" w:hAnsi="Book Antiqua" w:cs="AdvOT07517017"/>
          <w:color w:val="000000" w:themeColor="text1"/>
        </w:rPr>
        <w:t>, CD8</w:t>
      </w:r>
      <w:r w:rsidRPr="004678C8">
        <w:rPr>
          <w:rFonts w:ascii="Book Antiqua" w:hAnsi="Book Antiqua" w:cs="AdvOT07517017"/>
          <w:color w:val="000000" w:themeColor="text1"/>
          <w:vertAlign w:val="superscript"/>
        </w:rPr>
        <w:t>+</w:t>
      </w:r>
      <w:r>
        <w:rPr>
          <w:rFonts w:ascii="Book Antiqua" w:hAnsi="Book Antiqua" w:cs="AdvOT07517017"/>
          <w:color w:val="000000" w:themeColor="text1"/>
        </w:rPr>
        <w:t xml:space="preserve"> z cytoplazmatyczną </w:t>
      </w:r>
      <w:proofErr w:type="spellStart"/>
      <w:r>
        <w:rPr>
          <w:rFonts w:ascii="Book Antiqua" w:hAnsi="Book Antiqua" w:cs="AdvOT07517017"/>
          <w:color w:val="000000" w:themeColor="text1"/>
        </w:rPr>
        <w:t>koekspresją</w:t>
      </w:r>
      <w:proofErr w:type="spellEnd"/>
      <w:r>
        <w:rPr>
          <w:rFonts w:ascii="Book Antiqua" w:hAnsi="Book Antiqua" w:cs="AdvOT07517017"/>
          <w:color w:val="000000" w:themeColor="text1"/>
        </w:rPr>
        <w:t xml:space="preserve"> cytokin IL-4 i IFN-</w:t>
      </w:r>
      <w:r>
        <w:rPr>
          <w:rFonts w:ascii="Book Antiqua" w:hAnsi="Book Antiqua" w:cs="AdvOT07517017"/>
          <w:color w:val="000000" w:themeColor="text1"/>
        </w:rPr>
        <w:sym w:font="Symbol" w:char="F067"/>
      </w:r>
      <w:r>
        <w:rPr>
          <w:rFonts w:ascii="Book Antiqua" w:hAnsi="Book Antiqua" w:cs="AdvOT07517017"/>
          <w:color w:val="000000" w:themeColor="text1"/>
        </w:rPr>
        <w:t xml:space="preserve">, </w:t>
      </w:r>
      <w:r w:rsidRPr="00515F02">
        <w:rPr>
          <w:rFonts w:ascii="Book Antiqua" w:hAnsi="Book Antiqua" w:cs="AdvOT07517017"/>
          <w:color w:val="000000" w:themeColor="text1"/>
        </w:rPr>
        <w:t xml:space="preserve">wartości </w:t>
      </w:r>
      <w:r>
        <w:rPr>
          <w:rFonts w:ascii="Book Antiqua" w:hAnsi="Book Antiqua" w:cs="AdvOT07517017"/>
          <w:color w:val="000000" w:themeColor="text1"/>
        </w:rPr>
        <w:t>odsetkowe</w:t>
      </w:r>
      <w:r w:rsidRPr="00515F02">
        <w:rPr>
          <w:rFonts w:ascii="Book Antiqua" w:hAnsi="Book Antiqua" w:cs="AdvOT07517017"/>
          <w:color w:val="000000" w:themeColor="text1"/>
        </w:rPr>
        <w:t xml:space="preserve"> limfocytów T CD4</w:t>
      </w:r>
      <w:r w:rsidRPr="00515F02">
        <w:rPr>
          <w:rFonts w:ascii="Book Antiqua" w:hAnsi="Book Antiqua" w:cs="AdvOT07517017"/>
          <w:color w:val="000000" w:themeColor="text1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</w:rPr>
        <w:t xml:space="preserve"> z </w:t>
      </w:r>
      <w:proofErr w:type="spellStart"/>
      <w:r w:rsidRPr="00515F02">
        <w:rPr>
          <w:rFonts w:ascii="Book Antiqua" w:hAnsi="Book Antiqua" w:cs="AdvOT07517017"/>
          <w:color w:val="000000" w:themeColor="text1"/>
        </w:rPr>
        <w:t>koekspresją</w:t>
      </w:r>
      <w:proofErr w:type="spellEnd"/>
      <w:r w:rsidRPr="00515F02">
        <w:rPr>
          <w:rFonts w:ascii="Book Antiqua" w:hAnsi="Book Antiqua" w:cs="AdvOT07517017"/>
          <w:color w:val="000000" w:themeColor="text1"/>
        </w:rPr>
        <w:t xml:space="preserve"> receptora CD25, wartości ods</w:t>
      </w:r>
      <w:r>
        <w:rPr>
          <w:rFonts w:ascii="Book Antiqua" w:hAnsi="Book Antiqua" w:cs="AdvOT07517017"/>
          <w:color w:val="000000" w:themeColor="text1"/>
        </w:rPr>
        <w:t>etkowe</w:t>
      </w:r>
      <w:r w:rsidRPr="00515F02">
        <w:rPr>
          <w:rFonts w:ascii="Book Antiqua" w:hAnsi="Book Antiqua" w:cs="AdvOT07517017"/>
          <w:color w:val="000000" w:themeColor="text1"/>
        </w:rPr>
        <w:t xml:space="preserve"> komórek T regulatorowych (komórek CD4</w:t>
      </w:r>
      <w:r w:rsidRPr="00515F02">
        <w:rPr>
          <w:rFonts w:ascii="Book Antiqua" w:hAnsi="Book Antiqua" w:cs="AdvOT07517017"/>
          <w:color w:val="000000" w:themeColor="text1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</w:rPr>
        <w:t xml:space="preserve"> z wysoką ekspresją receptora CD25 i niską ekspresją cząsteczki CD127)</w:t>
      </w:r>
      <w:r>
        <w:rPr>
          <w:rFonts w:ascii="Book Antiqua" w:hAnsi="Book Antiqua" w:cs="AdvOT07517017"/>
          <w:color w:val="000000" w:themeColor="text1"/>
        </w:rPr>
        <w:t>.</w:t>
      </w:r>
      <w:r w:rsidRPr="00515F02">
        <w:rPr>
          <w:rFonts w:ascii="Book Antiqua" w:hAnsi="Book Antiqua" w:cs="AdvOT07517017"/>
          <w:color w:val="000000" w:themeColor="text1"/>
        </w:rPr>
        <w:t xml:space="preserve"> </w:t>
      </w:r>
    </w:p>
    <w:p w:rsidR="00C10982" w:rsidRDefault="00C10982" w:rsidP="00C10982">
      <w:pPr>
        <w:spacing w:line="360" w:lineRule="auto"/>
      </w:pPr>
      <w:r w:rsidRPr="00515F02">
        <w:tab/>
      </w:r>
    </w:p>
    <w:p w:rsidR="00C10982" w:rsidRDefault="00C10982" w:rsidP="00C10982">
      <w:pPr>
        <w:spacing w:line="360" w:lineRule="auto"/>
      </w:pPr>
    </w:p>
    <w:p w:rsidR="00C10982" w:rsidRDefault="00C10982" w:rsidP="00C10982">
      <w:pPr>
        <w:spacing w:line="360" w:lineRule="auto"/>
        <w:ind w:firstLine="360"/>
        <w:rPr>
          <w:rFonts w:ascii="Book Antiqua" w:hAnsi="Book Antiqua"/>
        </w:rPr>
      </w:pPr>
    </w:p>
    <w:p w:rsidR="00C10982" w:rsidRDefault="00C10982" w:rsidP="00C10982">
      <w:pPr>
        <w:spacing w:line="360" w:lineRule="auto"/>
        <w:ind w:firstLine="360"/>
        <w:rPr>
          <w:rFonts w:ascii="Book Antiqua" w:hAnsi="Book Antiqua"/>
        </w:rPr>
      </w:pPr>
    </w:p>
    <w:p w:rsidR="00C10982" w:rsidRPr="00515F02" w:rsidRDefault="00C10982" w:rsidP="00C10982">
      <w:pPr>
        <w:spacing w:line="360" w:lineRule="auto"/>
        <w:ind w:firstLine="360"/>
        <w:rPr>
          <w:rFonts w:ascii="Book Antiqua" w:hAnsi="Book Antiqua"/>
          <w:color w:val="000000" w:themeColor="text1"/>
        </w:rPr>
      </w:pPr>
      <w:r w:rsidRPr="00515F02">
        <w:rPr>
          <w:rFonts w:ascii="Book Antiqua" w:hAnsi="Book Antiqua"/>
        </w:rPr>
        <w:t>Uzyskane w ni</w:t>
      </w:r>
      <w:r>
        <w:rPr>
          <w:rFonts w:ascii="Book Antiqua" w:hAnsi="Book Antiqua"/>
        </w:rPr>
        <w:t>ni</w:t>
      </w:r>
      <w:r w:rsidRPr="00515F02">
        <w:rPr>
          <w:rFonts w:ascii="Book Antiqua" w:hAnsi="Book Antiqua"/>
        </w:rPr>
        <w:t xml:space="preserve">ejszej pracy wyniki upoważniają do wyciągnięcia </w:t>
      </w:r>
      <w:r w:rsidRPr="00515F02">
        <w:rPr>
          <w:rFonts w:ascii="Book Antiqua" w:hAnsi="Book Antiqua"/>
          <w:color w:val="000000" w:themeColor="text1"/>
        </w:rPr>
        <w:t>następujących wniosków:</w:t>
      </w:r>
    </w:p>
    <w:p w:rsidR="00C10982" w:rsidRPr="00515F02" w:rsidRDefault="00C10982" w:rsidP="00C109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Cs/>
          <w:snapToGrid w:val="0"/>
          <w:color w:val="FF0000"/>
          <w:sz w:val="24"/>
          <w:szCs w:val="24"/>
        </w:rPr>
      </w:pP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O powodzeniu immunoterapii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alergenowej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preparatami pyłków traw zdają się decydować nie tyle wartości oceniane w okresie nasilonej ekspozycji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alergenowej</w:t>
      </w:r>
      <w:proofErr w:type="spellEnd"/>
      <w:r>
        <w:rPr>
          <w:rFonts w:ascii="Book Antiqua" w:hAnsi="Book Antiqua" w:cs="AdvOT07517017"/>
          <w:color w:val="000000" w:themeColor="text1"/>
          <w:sz w:val="24"/>
          <w:szCs w:val="24"/>
        </w:rPr>
        <w:t>,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co ich stabilność manifestująca się brakiem znamiennych różnic pomiędzy oceną letnią i zimową.</w:t>
      </w:r>
    </w:p>
    <w:p w:rsidR="00C10982" w:rsidRPr="00515F02" w:rsidRDefault="00C10982" w:rsidP="00C10982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  <w:color w:val="000000" w:themeColor="text1"/>
          <w:sz w:val="24"/>
          <w:szCs w:val="24"/>
        </w:rPr>
      </w:pP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lastRenderedPageBreak/>
        <w:t xml:space="preserve">Jednym z parametrów warunkujących dobry kliniczny efekt immunoterapii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alergenowej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jest spadek wartości odsetkowej limfocytów CD3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  <w:vertAlign w:val="superscript"/>
        </w:rPr>
        <w:t xml:space="preserve">+ 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obserwowany w okresie nasilonej ekspozycji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alergenowej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w odniesieniu do analogicznej wartości ocenianej przy braku ekspozycji.</w:t>
      </w:r>
    </w:p>
    <w:p w:rsidR="00C10982" w:rsidRPr="00515F02" w:rsidRDefault="00C10982" w:rsidP="00C10982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  <w:color w:val="000000" w:themeColor="text1"/>
          <w:sz w:val="24"/>
          <w:szCs w:val="24"/>
        </w:rPr>
      </w:pP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Za dobry efekt kliniczny zdaje się odpowiadać nie tyle wartość odsetkowa limfocytów CD4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i CD8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z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koekspresją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IL-4 czy IFN-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sym w:font="Symbol" w:char="F067"/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, ile ich proporcja oraz stabilność, na którą nasilona ekspozycja antygenowa nie wywierała wpływu.</w:t>
      </w:r>
    </w:p>
    <w:p w:rsidR="00C10982" w:rsidRPr="00515F02" w:rsidRDefault="00C10982" w:rsidP="00C10982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  <w:color w:val="000000" w:themeColor="text1"/>
          <w:sz w:val="24"/>
          <w:szCs w:val="24"/>
        </w:rPr>
      </w:pP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Za dobry efekt kliniczny zdaje się odpowiadać zjawisko stabilności liczbowej komórek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Treg</w:t>
      </w:r>
      <w:proofErr w:type="spellEnd"/>
      <w:r>
        <w:rPr>
          <w:rFonts w:ascii="Book Antiqua" w:hAnsi="Book Antiqua" w:cs="AdvOT07517017"/>
          <w:color w:val="000000" w:themeColor="text1"/>
          <w:sz w:val="24"/>
          <w:szCs w:val="24"/>
        </w:rPr>
        <w:t>,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manifestujące się brakiem zmian w okresie nasilonej ekspozycji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alergenowej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w odniesieniu do analogicznych wartości ocenianych zimą.</w:t>
      </w:r>
    </w:p>
    <w:p w:rsidR="00C10982" w:rsidRPr="00515F02" w:rsidRDefault="00C10982" w:rsidP="00C10982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  <w:color w:val="000000" w:themeColor="text1"/>
          <w:sz w:val="24"/>
          <w:szCs w:val="24"/>
        </w:rPr>
      </w:pP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Efekt kliniczny </w:t>
      </w:r>
      <w:r>
        <w:rPr>
          <w:rFonts w:ascii="Book Antiqua" w:hAnsi="Book Antiqua" w:cs="AdvOT07517017"/>
          <w:color w:val="000000" w:themeColor="text1"/>
          <w:sz w:val="24"/>
          <w:szCs w:val="24"/>
        </w:rPr>
        <w:t>mierny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lub brak poprawy po przebytej terapii można wiązać z pierwotną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areaktywnością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limfocytów o przewadze aktywności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supresorowo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-cytotoksycznej, manifestującą się obniżeniem wartości odsetkowej komórek CD8</w:t>
      </w:r>
      <w:r w:rsidRPr="002F129D">
        <w:rPr>
          <w:rFonts w:ascii="Book Antiqua" w:hAnsi="Book Antiqua" w:cs="AdvOT07517017"/>
          <w:color w:val="000000" w:themeColor="text1"/>
          <w:sz w:val="24"/>
          <w:szCs w:val="24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i NK w okresie nasilonej ekspozycji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alergenowej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.</w:t>
      </w:r>
    </w:p>
    <w:p w:rsidR="00C10982" w:rsidRPr="00515F02" w:rsidRDefault="00C10982" w:rsidP="00C10982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OT07517017"/>
          <w:color w:val="000000" w:themeColor="text1"/>
          <w:sz w:val="24"/>
          <w:szCs w:val="24"/>
        </w:rPr>
      </w:pP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Immunoterapia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alergenowa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nie indukuje zmian w zakresie liczby limfocytów CD19</w:t>
      </w:r>
      <w:r w:rsidRPr="002F129D">
        <w:rPr>
          <w:rFonts w:ascii="Book Antiqua" w:hAnsi="Book Antiqua" w:cs="AdvOT07517017"/>
          <w:color w:val="000000" w:themeColor="text1"/>
          <w:sz w:val="24"/>
          <w:szCs w:val="24"/>
          <w:vertAlign w:val="superscript"/>
        </w:rPr>
        <w:t>+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 ocenianej bezpośrednio po jej zakończeniu, a zatem limfocyty B zdają się nie odgrywać roli w kreowaniu tolerancji na </w:t>
      </w:r>
      <w:r>
        <w:rPr>
          <w:rFonts w:ascii="Book Antiqua" w:hAnsi="Book Antiqua" w:cs="AdvOT07517017"/>
          <w:color w:val="000000" w:themeColor="text1"/>
          <w:sz w:val="24"/>
          <w:szCs w:val="24"/>
        </w:rPr>
        <w:t>anty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gen</w:t>
      </w:r>
      <w:r>
        <w:rPr>
          <w:rFonts w:ascii="Book Antiqua" w:hAnsi="Book Antiqua" w:cs="AdvOT07517017"/>
          <w:color w:val="000000" w:themeColor="text1"/>
          <w:sz w:val="24"/>
          <w:szCs w:val="24"/>
        </w:rPr>
        <w:t xml:space="preserve"> decydującej </w:t>
      </w:r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 xml:space="preserve">o powodzeniu immunoterapii </w:t>
      </w:r>
      <w:proofErr w:type="spellStart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alergenowej</w:t>
      </w:r>
      <w:proofErr w:type="spellEnd"/>
      <w:r w:rsidRPr="00515F02">
        <w:rPr>
          <w:rFonts w:ascii="Book Antiqua" w:hAnsi="Book Antiqua" w:cs="AdvOT07517017"/>
          <w:color w:val="000000" w:themeColor="text1"/>
          <w:sz w:val="24"/>
          <w:szCs w:val="24"/>
        </w:rPr>
        <w:t>.</w:t>
      </w:r>
    </w:p>
    <w:p w:rsidR="007309AE" w:rsidRDefault="007309AE">
      <w:bookmarkStart w:id="0" w:name="_GoBack"/>
      <w:bookmarkEnd w:id="0"/>
    </w:p>
    <w:sectPr w:rsidR="0073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vOT0751701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146"/>
    <w:multiLevelType w:val="hybridMultilevel"/>
    <w:tmpl w:val="083EA782"/>
    <w:lvl w:ilvl="0" w:tplc="53E4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82"/>
    <w:rsid w:val="007309AE"/>
    <w:rsid w:val="00C1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6B76-0C23-4D17-A809-B1EA680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9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0982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10982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C109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2018-06-14T13:32:00Z</dcterms:created>
  <dcterms:modified xsi:type="dcterms:W3CDTF">2018-06-14T13:33:00Z</dcterms:modified>
</cp:coreProperties>
</file>