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53" w:rsidRPr="00AC7F53" w:rsidRDefault="00AC7F53" w:rsidP="00AC7F53">
      <w:pPr>
        <w:pStyle w:val="Nagwek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1491293"/>
      <w:bookmarkStart w:id="1" w:name="_GoBack"/>
      <w:bookmarkEnd w:id="1"/>
      <w:r w:rsidRPr="00AC7F53">
        <w:rPr>
          <w:rFonts w:ascii="Times New Roman" w:hAnsi="Times New Roman" w:cs="Times New Roman"/>
          <w:color w:val="auto"/>
          <w:sz w:val="24"/>
          <w:szCs w:val="24"/>
        </w:rPr>
        <w:t>Streszczenie</w:t>
      </w:r>
      <w:bookmarkEnd w:id="0"/>
    </w:p>
    <w:p w:rsidR="00AC7F53" w:rsidRPr="00AC7F53" w:rsidRDefault="00AC7F53" w:rsidP="00AC7F5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F53">
        <w:rPr>
          <w:rFonts w:ascii="Times New Roman" w:hAnsi="Times New Roman" w:cs="Times New Roman"/>
          <w:sz w:val="24"/>
          <w:szCs w:val="24"/>
        </w:rPr>
        <w:t>Ekstrakt z kłącza pięciornika kurze ziele (</w:t>
      </w:r>
      <w:r w:rsidRPr="00AC7F53">
        <w:rPr>
          <w:rFonts w:ascii="Times New Roman" w:hAnsi="Times New Roman" w:cs="Times New Roman"/>
          <w:i/>
          <w:sz w:val="24"/>
          <w:szCs w:val="24"/>
        </w:rPr>
        <w:t>Tormentillae rhizoma</w:t>
      </w:r>
      <w:r w:rsidRPr="00AC7F53">
        <w:rPr>
          <w:rFonts w:ascii="Times New Roman" w:hAnsi="Times New Roman" w:cs="Times New Roman"/>
          <w:sz w:val="24"/>
          <w:szCs w:val="24"/>
        </w:rPr>
        <w:t>) (</w:t>
      </w:r>
      <w:r w:rsidRPr="00AC7F53">
        <w:rPr>
          <w:rFonts w:ascii="Times New Roman" w:hAnsi="Times New Roman" w:cs="Times New Roman"/>
          <w:i/>
          <w:sz w:val="24"/>
          <w:szCs w:val="24"/>
        </w:rPr>
        <w:t xml:space="preserve">Potentilla erecta </w:t>
      </w:r>
      <w:r w:rsidRPr="00AC7F53">
        <w:rPr>
          <w:rFonts w:ascii="Times New Roman" w:hAnsi="Times New Roman" w:cs="Times New Roman"/>
          <w:sz w:val="24"/>
          <w:szCs w:val="24"/>
        </w:rPr>
        <w:t xml:space="preserve">(L.) Raeusch, Rosaceae) jest stosowany w celu łagodzenia zaburzeń żołądkowo-jelitowych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C7F53">
        <w:rPr>
          <w:rFonts w:ascii="Times New Roman" w:hAnsi="Times New Roman" w:cs="Times New Roman"/>
          <w:sz w:val="24"/>
          <w:szCs w:val="24"/>
        </w:rPr>
        <w:t xml:space="preserve">oraz stanowi składnik preparatów do stosowania zewnętrznego zmniejszających stan zapalny. Działanie antyoksydacyjne i przeciwzapalne ekstraktu zostały udowodnione w badaniach </w:t>
      </w:r>
      <w:r w:rsidRPr="00AC7F53">
        <w:rPr>
          <w:rFonts w:ascii="Times New Roman" w:hAnsi="Times New Roman" w:cs="Times New Roman"/>
          <w:i/>
          <w:sz w:val="24"/>
          <w:szCs w:val="24"/>
        </w:rPr>
        <w:t>in vitro</w:t>
      </w:r>
      <w:r w:rsidRPr="00AC7F53">
        <w:rPr>
          <w:rFonts w:ascii="Times New Roman" w:hAnsi="Times New Roman" w:cs="Times New Roman"/>
          <w:sz w:val="24"/>
          <w:szCs w:val="24"/>
        </w:rPr>
        <w:t xml:space="preserve"> i </w:t>
      </w:r>
      <w:r w:rsidRPr="00AC7F53">
        <w:rPr>
          <w:rFonts w:ascii="Times New Roman" w:hAnsi="Times New Roman" w:cs="Times New Roman"/>
          <w:i/>
          <w:sz w:val="24"/>
          <w:szCs w:val="24"/>
        </w:rPr>
        <w:t>in vivo</w:t>
      </w:r>
      <w:r w:rsidRPr="00AC7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F53" w:rsidRPr="00AC7F53" w:rsidRDefault="00AC7F53" w:rsidP="00AC7F5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F53">
        <w:rPr>
          <w:rFonts w:ascii="Times New Roman" w:hAnsi="Times New Roman" w:cs="Times New Roman"/>
          <w:sz w:val="24"/>
          <w:szCs w:val="24"/>
        </w:rPr>
        <w:t xml:space="preserve">Zarówno stres oksydacyjny jak i stan zapalny przyczyniają się do rozwoju i progresji chorób układu krążenia, których powikłaniami są często incydenty zakrzepowo-zatorowe. Dlatego też zasadnym było zbadanie wpływu ekstraktu z kłącza pięciornika kurze ziele </w:t>
      </w:r>
      <w:r>
        <w:rPr>
          <w:rFonts w:ascii="Times New Roman" w:hAnsi="Times New Roman" w:cs="Times New Roman"/>
          <w:sz w:val="24"/>
          <w:szCs w:val="24"/>
        </w:rPr>
        <w:br/>
      </w:r>
      <w:r w:rsidRPr="00AC7F53">
        <w:rPr>
          <w:rFonts w:ascii="Times New Roman" w:hAnsi="Times New Roman" w:cs="Times New Roman"/>
          <w:sz w:val="24"/>
          <w:szCs w:val="24"/>
        </w:rPr>
        <w:t xml:space="preserve">na układ hemostazy i proces zakrzepowy. </w:t>
      </w:r>
    </w:p>
    <w:p w:rsidR="00AC7F53" w:rsidRPr="00AC7F53" w:rsidRDefault="00AC7F53" w:rsidP="00AC7F5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F53">
        <w:rPr>
          <w:rFonts w:ascii="Times New Roman" w:hAnsi="Times New Roman" w:cs="Times New Roman"/>
          <w:sz w:val="24"/>
          <w:szCs w:val="24"/>
        </w:rPr>
        <w:t xml:space="preserve">W tym celu wykorzystano szeroki panel metod służących do określenia wpływu wodno-metanolowego ekstraktu z kłącza pięciornika kurze ziele (PER) na poszczególne elementy układu hemostazy: płytki krwi, układ krzepnięcia, układ fibrynolizy i ścianę naczynia oraz eksperymentalny proces zakrzepowy. W pracy dokonano ponadto jakościowej analizy składu ekstraktu. Badania przeprowadzono na szczurach Wistar i myszach C57BL6: normoglikemicznych i z wyindukowaną streptozotocyną cukrzycą. PER podawano </w:t>
      </w:r>
      <w:r w:rsidRPr="00AC7F53">
        <w:rPr>
          <w:rFonts w:ascii="Times New Roman" w:hAnsi="Times New Roman" w:cs="Times New Roman"/>
          <w:i/>
          <w:sz w:val="24"/>
          <w:szCs w:val="24"/>
        </w:rPr>
        <w:t>per os</w:t>
      </w:r>
      <w:r w:rsidRPr="00AC7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C7F53">
        <w:rPr>
          <w:rFonts w:ascii="Times New Roman" w:hAnsi="Times New Roman" w:cs="Times New Roman"/>
          <w:sz w:val="24"/>
          <w:szCs w:val="24"/>
        </w:rPr>
        <w:t xml:space="preserve">w dawkach: 100 mg/kg, 200 mg/kg, 400 mg/kg przez 14 dni. </w:t>
      </w:r>
    </w:p>
    <w:p w:rsidR="00AC7F53" w:rsidRPr="00AC7F53" w:rsidRDefault="00AC7F53" w:rsidP="00AC7F5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F53">
        <w:rPr>
          <w:rFonts w:ascii="Times New Roman" w:hAnsi="Times New Roman" w:cs="Times New Roman"/>
          <w:sz w:val="24"/>
          <w:szCs w:val="24"/>
        </w:rPr>
        <w:t xml:space="preserve">Główne składniki PER stanowiły związki polifenolowe z grupy procyjanidyn </w:t>
      </w:r>
      <w:r>
        <w:rPr>
          <w:rFonts w:ascii="Times New Roman" w:hAnsi="Times New Roman" w:cs="Times New Roman"/>
          <w:sz w:val="24"/>
          <w:szCs w:val="24"/>
        </w:rPr>
        <w:br/>
      </w:r>
      <w:r w:rsidRPr="00AC7F53">
        <w:rPr>
          <w:rFonts w:ascii="Times New Roman" w:hAnsi="Times New Roman" w:cs="Times New Roman"/>
          <w:sz w:val="24"/>
          <w:szCs w:val="24"/>
        </w:rPr>
        <w:t xml:space="preserve">i elagotanin. W normoglikemii efekty działania PER obserwowane były tylko w najwyższej zastosowanej dawce i były wyrażone osłabieniem tętniczego procesu zakrzepowego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AC7F53">
        <w:rPr>
          <w:rFonts w:ascii="Times New Roman" w:hAnsi="Times New Roman" w:cs="Times New Roman"/>
          <w:sz w:val="24"/>
          <w:szCs w:val="24"/>
        </w:rPr>
        <w:t xml:space="preserve">w mechanizmie zależnym od hamowania aktywności płytek krwi. Ponadto, obserwowano umiarkowane nasilenie aktywność układu krzepnięcia, w mechanizmie zależnym prawdopodobnie od aktywacji wewnątrzpochodnego szlaku krzepnięcia, co wynikało </w:t>
      </w:r>
      <w:r>
        <w:rPr>
          <w:rFonts w:ascii="Times New Roman" w:hAnsi="Times New Roman" w:cs="Times New Roman"/>
          <w:sz w:val="24"/>
          <w:szCs w:val="24"/>
        </w:rPr>
        <w:br/>
      </w:r>
      <w:r w:rsidRPr="00AC7F53">
        <w:rPr>
          <w:rFonts w:ascii="Times New Roman" w:hAnsi="Times New Roman" w:cs="Times New Roman"/>
          <w:sz w:val="24"/>
          <w:szCs w:val="24"/>
        </w:rPr>
        <w:t xml:space="preserve">z wpływu PER na układ kinin. W cukrzycy, PER działał silniej, gdyż wpływ na układ hemostazy obserwowano w każdej z dawek. Z jednej strony, PER hamował aktywność płytek krwi oraz poprawiał funkcję naczynia krwionośnego, z drugiej zaś nasilał aktywność układu krzepnięcia i hamował fibrynolizę. Te przeciwne działania mogły być przyczyną różnego,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AC7F53">
        <w:rPr>
          <w:rFonts w:ascii="Times New Roman" w:hAnsi="Times New Roman" w:cs="Times New Roman"/>
          <w:sz w:val="24"/>
          <w:szCs w:val="24"/>
        </w:rPr>
        <w:t xml:space="preserve">w zależności od zastosowanego modelu, wpływu na proces zakrzepowy. </w:t>
      </w:r>
    </w:p>
    <w:p w:rsidR="00AC7F53" w:rsidRPr="00AC7F53" w:rsidRDefault="00AC7F53" w:rsidP="00AC7F5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F53">
        <w:rPr>
          <w:rFonts w:ascii="Times New Roman" w:hAnsi="Times New Roman" w:cs="Times New Roman"/>
          <w:sz w:val="24"/>
          <w:szCs w:val="24"/>
        </w:rPr>
        <w:t xml:space="preserve">Przeprowadzone badania wykazały, że wpływ PER na układ hemostazy jest wielotorowy. Dlatego też, niezbędne są dalsze badania, które wyjaśnią zasadność stosowania PER </w:t>
      </w:r>
      <w:r>
        <w:rPr>
          <w:rFonts w:ascii="Times New Roman" w:hAnsi="Times New Roman" w:cs="Times New Roman"/>
          <w:sz w:val="24"/>
          <w:szCs w:val="24"/>
        </w:rPr>
        <w:br/>
      </w:r>
      <w:r w:rsidRPr="00AC7F53">
        <w:rPr>
          <w:rFonts w:ascii="Times New Roman" w:hAnsi="Times New Roman" w:cs="Times New Roman"/>
          <w:sz w:val="24"/>
          <w:szCs w:val="24"/>
        </w:rPr>
        <w:t>w profilaktyce i leczeniu</w:t>
      </w:r>
      <w:r w:rsidRPr="00AC7F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7F53">
        <w:rPr>
          <w:rFonts w:ascii="Times New Roman" w:hAnsi="Times New Roman" w:cs="Times New Roman"/>
          <w:sz w:val="24"/>
          <w:szCs w:val="24"/>
        </w:rPr>
        <w:t>chorób układu krążenia.</w:t>
      </w:r>
    </w:p>
    <w:sectPr w:rsidR="00AC7F53" w:rsidRPr="00AC7F53" w:rsidSect="00AC7F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53"/>
    <w:rsid w:val="000B635D"/>
    <w:rsid w:val="00873689"/>
    <w:rsid w:val="00A2719C"/>
    <w:rsid w:val="00A63BFD"/>
    <w:rsid w:val="00A86FF7"/>
    <w:rsid w:val="00AC7F53"/>
    <w:rsid w:val="00C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F53"/>
  </w:style>
  <w:style w:type="paragraph" w:styleId="Nagwek1">
    <w:name w:val="heading 1"/>
    <w:basedOn w:val="Normalny"/>
    <w:next w:val="Normalny"/>
    <w:link w:val="Nagwek1Znak"/>
    <w:uiPriority w:val="9"/>
    <w:qFormat/>
    <w:rsid w:val="00AC7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F53"/>
  </w:style>
  <w:style w:type="paragraph" w:styleId="Nagwek1">
    <w:name w:val="heading 1"/>
    <w:basedOn w:val="Normalny"/>
    <w:next w:val="Normalny"/>
    <w:link w:val="Nagwek1Znak"/>
    <w:uiPriority w:val="9"/>
    <w:qFormat/>
    <w:rsid w:val="00AC7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Biofarmacja</dc:creator>
  <cp:lastModifiedBy>Justyna Radziewicz</cp:lastModifiedBy>
  <cp:revision>2</cp:revision>
  <dcterms:created xsi:type="dcterms:W3CDTF">2020-05-29T08:15:00Z</dcterms:created>
  <dcterms:modified xsi:type="dcterms:W3CDTF">2020-05-29T08:15:00Z</dcterms:modified>
</cp:coreProperties>
</file>