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6A" w:rsidRDefault="002A016A" w:rsidP="002A016A">
      <w:pPr>
        <w:jc w:val="center"/>
        <w:rPr>
          <w:rFonts w:ascii="Gill Sans MT" w:hAnsi="Gill Sans MT"/>
        </w:rPr>
      </w:pPr>
      <w:bookmarkStart w:id="0" w:name="_Toc448843242"/>
      <w:r>
        <w:rPr>
          <w:rFonts w:ascii="Gill Sans MT" w:hAnsi="Gill Sans MT"/>
        </w:rPr>
        <w:t>UNIWERSYTET MEDYCZNY W BIAŁYMSTOKU</w:t>
      </w:r>
    </w:p>
    <w:p w:rsidR="002A016A" w:rsidRDefault="002A016A" w:rsidP="002A016A">
      <w:pPr>
        <w:jc w:val="center"/>
        <w:rPr>
          <w:rFonts w:ascii="Gill Sans MT" w:hAnsi="Gill Sans MT"/>
        </w:rPr>
      </w:pPr>
      <w:r>
        <w:rPr>
          <w:rFonts w:ascii="Gill Sans MT" w:hAnsi="Gill Sans MT"/>
        </w:rPr>
        <w:t>WYDZIAŁ FARMACEUTYCZNY Z ODDZIAŁEM MEDYCYNY LABORATORYJNEJ</w:t>
      </w:r>
    </w:p>
    <w:p w:rsidR="002A016A" w:rsidRDefault="002A016A" w:rsidP="002A016A">
      <w:pPr>
        <w:jc w:val="center"/>
        <w:rPr>
          <w:rFonts w:ascii="Gill Sans MT" w:hAnsi="Gill Sans MT"/>
        </w:rPr>
      </w:pPr>
    </w:p>
    <w:p w:rsidR="002A016A" w:rsidRDefault="002A016A" w:rsidP="002A016A">
      <w:pPr>
        <w:rPr>
          <w:rFonts w:ascii="Gill Sans MT" w:hAnsi="Gill Sans MT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1826895</wp:posOffset>
            </wp:positionH>
            <wp:positionV relativeFrom="paragraph">
              <wp:posOffset>135255</wp:posOffset>
            </wp:positionV>
            <wp:extent cx="2158365" cy="216154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016A" w:rsidRDefault="002A016A" w:rsidP="002A016A">
      <w:pPr>
        <w:rPr>
          <w:rFonts w:ascii="Gill Sans MT" w:hAnsi="Gill Sans MT"/>
        </w:rPr>
      </w:pPr>
    </w:p>
    <w:p w:rsidR="002A016A" w:rsidRDefault="002A016A" w:rsidP="002A016A">
      <w:pPr>
        <w:rPr>
          <w:rFonts w:ascii="Gill Sans MT" w:hAnsi="Gill Sans MT"/>
        </w:rPr>
      </w:pPr>
    </w:p>
    <w:p w:rsidR="002A016A" w:rsidRDefault="002A016A" w:rsidP="002A016A">
      <w:pPr>
        <w:rPr>
          <w:rFonts w:ascii="Gill Sans MT" w:hAnsi="Gill Sans MT"/>
        </w:rPr>
      </w:pPr>
    </w:p>
    <w:p w:rsidR="002A016A" w:rsidRDefault="002A016A" w:rsidP="002A016A">
      <w:pPr>
        <w:rPr>
          <w:rFonts w:ascii="Gill Sans MT" w:hAnsi="Gill Sans MT"/>
        </w:rPr>
      </w:pPr>
    </w:p>
    <w:p w:rsidR="002A016A" w:rsidRDefault="002A016A" w:rsidP="002A016A">
      <w:pPr>
        <w:rPr>
          <w:rFonts w:ascii="Gill Sans MT" w:hAnsi="Gill Sans MT"/>
        </w:rPr>
      </w:pPr>
    </w:p>
    <w:p w:rsidR="002A016A" w:rsidRDefault="002A016A" w:rsidP="002A016A">
      <w:pPr>
        <w:rPr>
          <w:rFonts w:ascii="Gill Sans MT" w:hAnsi="Gill Sans MT"/>
        </w:rPr>
      </w:pPr>
    </w:p>
    <w:p w:rsidR="002A016A" w:rsidRDefault="002A016A" w:rsidP="002A016A">
      <w:pPr>
        <w:rPr>
          <w:rFonts w:ascii="Gill Sans MT" w:hAnsi="Gill Sans MT"/>
        </w:rPr>
      </w:pPr>
    </w:p>
    <w:p w:rsidR="002A016A" w:rsidRDefault="002A016A" w:rsidP="002A016A">
      <w:pPr>
        <w:tabs>
          <w:tab w:val="left" w:pos="7470"/>
        </w:tabs>
        <w:rPr>
          <w:rFonts w:ascii="Gill Sans MT" w:hAnsi="Gill Sans MT"/>
        </w:rPr>
      </w:pPr>
      <w:r>
        <w:rPr>
          <w:rFonts w:ascii="Gill Sans MT" w:hAnsi="Gill Sans MT"/>
        </w:rPr>
        <w:tab/>
      </w:r>
    </w:p>
    <w:p w:rsidR="002A016A" w:rsidRDefault="002A016A" w:rsidP="002A016A">
      <w:pPr>
        <w:tabs>
          <w:tab w:val="left" w:pos="7470"/>
        </w:tabs>
        <w:rPr>
          <w:rFonts w:ascii="Gill Sans MT" w:hAnsi="Gill Sans MT"/>
          <w:sz w:val="26"/>
          <w:szCs w:val="26"/>
        </w:rPr>
      </w:pPr>
    </w:p>
    <w:p w:rsidR="002A016A" w:rsidRDefault="002A016A" w:rsidP="002A016A">
      <w:pPr>
        <w:tabs>
          <w:tab w:val="left" w:pos="7470"/>
        </w:tabs>
        <w:rPr>
          <w:rFonts w:ascii="Gill Sans MT" w:hAnsi="Gill Sans MT"/>
          <w:sz w:val="26"/>
          <w:szCs w:val="26"/>
        </w:rPr>
      </w:pPr>
    </w:p>
    <w:p w:rsidR="002A016A" w:rsidRDefault="002A016A" w:rsidP="002A016A">
      <w:pPr>
        <w:tabs>
          <w:tab w:val="left" w:pos="7470"/>
        </w:tabs>
        <w:jc w:val="center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mgr Piotr Majewski</w:t>
      </w:r>
    </w:p>
    <w:p w:rsidR="002A016A" w:rsidRDefault="002A016A" w:rsidP="002A016A">
      <w:pPr>
        <w:tabs>
          <w:tab w:val="left" w:pos="7470"/>
        </w:tabs>
        <w:jc w:val="center"/>
        <w:rPr>
          <w:rFonts w:ascii="Gill Sans MT" w:hAnsi="Gill Sans MT"/>
        </w:rPr>
      </w:pPr>
    </w:p>
    <w:p w:rsidR="002A016A" w:rsidRDefault="002A016A" w:rsidP="002A016A">
      <w:pPr>
        <w:tabs>
          <w:tab w:val="left" w:pos="7470"/>
        </w:tabs>
        <w:jc w:val="center"/>
        <w:rPr>
          <w:rFonts w:ascii="Gill Sans MT" w:hAnsi="Gill Sans MT"/>
        </w:rPr>
      </w:pPr>
    </w:p>
    <w:p w:rsidR="002A016A" w:rsidRDefault="002A016A" w:rsidP="002A016A">
      <w:pPr>
        <w:tabs>
          <w:tab w:val="left" w:pos="7470"/>
        </w:tabs>
        <w:jc w:val="center"/>
        <w:rPr>
          <w:rFonts w:ascii="Gill Sans MT" w:hAnsi="Gill Sans MT"/>
        </w:rPr>
      </w:pPr>
      <w:r>
        <w:rPr>
          <w:rFonts w:ascii="Gill Sans MT" w:hAnsi="Gill Sans MT"/>
        </w:rPr>
        <w:t>ROZPRAWA DOKTORSKA p.t.</w:t>
      </w:r>
    </w:p>
    <w:p w:rsidR="002A016A" w:rsidRDefault="002A016A" w:rsidP="002A016A">
      <w:pPr>
        <w:tabs>
          <w:tab w:val="left" w:pos="7470"/>
        </w:tabs>
        <w:jc w:val="center"/>
        <w:rPr>
          <w:rFonts w:ascii="Gill Sans MT" w:hAnsi="Gill Sans MT"/>
        </w:rPr>
      </w:pPr>
    </w:p>
    <w:p w:rsidR="002A016A" w:rsidRDefault="002A016A" w:rsidP="002A016A">
      <w:pPr>
        <w:tabs>
          <w:tab w:val="left" w:pos="7470"/>
        </w:tabs>
        <w:jc w:val="center"/>
        <w:rPr>
          <w:rFonts w:ascii="Gill Sans MT" w:hAnsi="Gill Sans MT"/>
          <w:b/>
          <w:sz w:val="30"/>
          <w:szCs w:val="30"/>
        </w:rPr>
      </w:pPr>
      <w:r>
        <w:rPr>
          <w:rFonts w:ascii="Gill Sans MT" w:hAnsi="Gill Sans MT"/>
          <w:b/>
          <w:sz w:val="30"/>
          <w:szCs w:val="30"/>
        </w:rPr>
        <w:t xml:space="preserve">„Molekularne podstawy oporności na </w:t>
      </w:r>
      <w:proofErr w:type="spellStart"/>
      <w:r>
        <w:rPr>
          <w:rFonts w:ascii="Gill Sans MT" w:hAnsi="Gill Sans MT"/>
          <w:b/>
          <w:sz w:val="30"/>
          <w:szCs w:val="30"/>
        </w:rPr>
        <w:t>karbapenemy</w:t>
      </w:r>
      <w:proofErr w:type="spellEnd"/>
      <w:r>
        <w:rPr>
          <w:rFonts w:ascii="Gill Sans MT" w:hAnsi="Gill Sans MT"/>
          <w:b/>
          <w:sz w:val="30"/>
          <w:szCs w:val="30"/>
        </w:rPr>
        <w:t xml:space="preserve"> wśród klinicznych szczepów </w:t>
      </w:r>
      <w:proofErr w:type="spellStart"/>
      <w:r>
        <w:rPr>
          <w:rFonts w:ascii="Gill Sans MT" w:hAnsi="Gill Sans MT"/>
          <w:b/>
          <w:i/>
          <w:sz w:val="30"/>
          <w:szCs w:val="30"/>
        </w:rPr>
        <w:t>Enterobacter</w:t>
      </w:r>
      <w:proofErr w:type="spellEnd"/>
      <w:r>
        <w:rPr>
          <w:rFonts w:ascii="Gill Sans MT" w:hAnsi="Gill Sans MT"/>
          <w:b/>
          <w:i/>
          <w:sz w:val="30"/>
          <w:szCs w:val="30"/>
        </w:rPr>
        <w:t xml:space="preserve"> </w:t>
      </w:r>
      <w:proofErr w:type="spellStart"/>
      <w:r>
        <w:rPr>
          <w:rFonts w:ascii="Gill Sans MT" w:hAnsi="Gill Sans MT"/>
          <w:b/>
          <w:i/>
          <w:sz w:val="30"/>
          <w:szCs w:val="30"/>
        </w:rPr>
        <w:t>cloacae</w:t>
      </w:r>
      <w:proofErr w:type="spellEnd"/>
      <w:r>
        <w:rPr>
          <w:rFonts w:ascii="Gill Sans MT" w:hAnsi="Gill Sans MT"/>
          <w:b/>
          <w:sz w:val="30"/>
          <w:szCs w:val="30"/>
        </w:rPr>
        <w:t>”</w:t>
      </w:r>
    </w:p>
    <w:p w:rsidR="002A016A" w:rsidRDefault="002A016A" w:rsidP="002A016A">
      <w:pPr>
        <w:tabs>
          <w:tab w:val="left" w:pos="7470"/>
        </w:tabs>
        <w:jc w:val="center"/>
        <w:rPr>
          <w:rFonts w:ascii="Gill Sans MT" w:hAnsi="Gill Sans MT"/>
          <w:b/>
          <w:sz w:val="28"/>
        </w:rPr>
      </w:pPr>
    </w:p>
    <w:p w:rsidR="002A016A" w:rsidRDefault="002A016A" w:rsidP="002A016A">
      <w:pPr>
        <w:tabs>
          <w:tab w:val="left" w:pos="7470"/>
        </w:tabs>
        <w:jc w:val="center"/>
        <w:rPr>
          <w:rFonts w:ascii="Gill Sans MT" w:hAnsi="Gill Sans MT"/>
          <w:sz w:val="28"/>
        </w:rPr>
      </w:pPr>
    </w:p>
    <w:p w:rsidR="002A016A" w:rsidRDefault="002A016A" w:rsidP="002A016A">
      <w:pPr>
        <w:tabs>
          <w:tab w:val="left" w:pos="7470"/>
        </w:tabs>
        <w:jc w:val="center"/>
        <w:rPr>
          <w:rFonts w:ascii="Gill Sans MT" w:hAnsi="Gill Sans MT"/>
          <w:sz w:val="28"/>
        </w:rPr>
      </w:pPr>
    </w:p>
    <w:p w:rsidR="002A016A" w:rsidRDefault="002A016A" w:rsidP="002A016A">
      <w:pPr>
        <w:tabs>
          <w:tab w:val="left" w:pos="7470"/>
        </w:tabs>
        <w:rPr>
          <w:rFonts w:ascii="Gill Sans MT" w:hAnsi="Gill Sans MT"/>
          <w:sz w:val="28"/>
        </w:rPr>
      </w:pPr>
    </w:p>
    <w:p w:rsidR="002A016A" w:rsidRDefault="002A016A" w:rsidP="002A016A">
      <w:pPr>
        <w:tabs>
          <w:tab w:val="left" w:pos="7470"/>
        </w:tabs>
        <w:jc w:val="center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  <w:lang w:val="en-US"/>
        </w:rPr>
        <w:t xml:space="preserve">Promotor: prof. </w:t>
      </w:r>
      <w:proofErr w:type="spellStart"/>
      <w:r>
        <w:rPr>
          <w:rFonts w:ascii="Gill Sans MT" w:hAnsi="Gill Sans MT"/>
          <w:sz w:val="26"/>
          <w:szCs w:val="26"/>
          <w:lang w:val="en-US"/>
        </w:rPr>
        <w:t>dr</w:t>
      </w:r>
      <w:proofErr w:type="spellEnd"/>
      <w:r>
        <w:rPr>
          <w:rFonts w:ascii="Gill Sans MT" w:hAnsi="Gill Sans MT"/>
          <w:sz w:val="26"/>
          <w:szCs w:val="26"/>
          <w:lang w:val="en-US"/>
        </w:rPr>
        <w:t xml:space="preserve"> hab. n. med. </w:t>
      </w:r>
      <w:r>
        <w:rPr>
          <w:rFonts w:ascii="Gill Sans MT" w:hAnsi="Gill Sans MT"/>
          <w:sz w:val="26"/>
          <w:szCs w:val="26"/>
        </w:rPr>
        <w:t xml:space="preserve">Elżbieta Anna </w:t>
      </w:r>
      <w:proofErr w:type="spellStart"/>
      <w:r>
        <w:rPr>
          <w:rFonts w:ascii="Gill Sans MT" w:hAnsi="Gill Sans MT"/>
          <w:sz w:val="26"/>
          <w:szCs w:val="26"/>
        </w:rPr>
        <w:t>Tryniszewska</w:t>
      </w:r>
      <w:proofErr w:type="spellEnd"/>
    </w:p>
    <w:p w:rsidR="002A016A" w:rsidRDefault="002A016A" w:rsidP="002A016A">
      <w:pPr>
        <w:tabs>
          <w:tab w:val="left" w:pos="7470"/>
        </w:tabs>
        <w:jc w:val="center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Promotor pomocniczy: dr n. med. Piotr Wieczorek</w:t>
      </w:r>
    </w:p>
    <w:p w:rsidR="002A016A" w:rsidRDefault="002A016A" w:rsidP="002A016A">
      <w:pPr>
        <w:tabs>
          <w:tab w:val="left" w:pos="7470"/>
        </w:tabs>
        <w:jc w:val="center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ZAKŁAD DIAGNOSTYKI MIKROBIOLOGICZNEJ I IMMUNOLOGII INFEKCYJNEJ</w:t>
      </w:r>
    </w:p>
    <w:p w:rsidR="002A016A" w:rsidRDefault="002A016A" w:rsidP="002A016A">
      <w:pPr>
        <w:tabs>
          <w:tab w:val="left" w:pos="7470"/>
        </w:tabs>
        <w:jc w:val="center"/>
        <w:rPr>
          <w:rFonts w:ascii="Gill Sans MT" w:hAnsi="Gill Sans MT"/>
          <w:sz w:val="24"/>
        </w:rPr>
      </w:pPr>
    </w:p>
    <w:p w:rsidR="002A016A" w:rsidRPr="009B7AA0" w:rsidRDefault="002A016A" w:rsidP="002A016A">
      <w:pPr>
        <w:tabs>
          <w:tab w:val="left" w:pos="7470"/>
        </w:tabs>
        <w:jc w:val="center"/>
        <w:rPr>
          <w:rFonts w:ascii="Gill Sans MT" w:hAnsi="Gill Sans MT"/>
          <w:sz w:val="24"/>
        </w:rPr>
        <w:sectPr w:rsidR="002A016A" w:rsidRPr="009B7AA0" w:rsidSect="00636D81">
          <w:footerReference w:type="default" r:id="rId7"/>
          <w:pgSz w:w="11906" w:h="16838"/>
          <w:pgMar w:top="1417" w:right="1417" w:bottom="1417" w:left="1417" w:header="708" w:footer="708" w:gutter="0"/>
          <w:cols w:space="708"/>
          <w:titlePg/>
          <w:docGrid w:linePitch="299"/>
        </w:sectPr>
      </w:pPr>
      <w:r>
        <w:rPr>
          <w:rFonts w:ascii="Gill Sans MT" w:hAnsi="Gill Sans MT"/>
          <w:sz w:val="24"/>
        </w:rPr>
        <w:t>Białystok 2016</w:t>
      </w:r>
    </w:p>
    <w:p w:rsidR="002A016A" w:rsidRDefault="002A016A" w:rsidP="002A016A">
      <w:pPr>
        <w:pStyle w:val="Styl1"/>
        <w:numPr>
          <w:ilvl w:val="0"/>
          <w:numId w:val="0"/>
        </w:numPr>
      </w:pPr>
      <w:bookmarkStart w:id="1" w:name="_GoBack"/>
      <w:bookmarkEnd w:id="1"/>
    </w:p>
    <w:p w:rsidR="002A016A" w:rsidRDefault="002A016A" w:rsidP="002A016A">
      <w:pPr>
        <w:pStyle w:val="Styl1"/>
        <w:numPr>
          <w:ilvl w:val="0"/>
          <w:numId w:val="0"/>
        </w:numPr>
        <w:ind w:left="426"/>
      </w:pPr>
    </w:p>
    <w:p w:rsidR="002A016A" w:rsidRDefault="002A016A" w:rsidP="002A016A">
      <w:pPr>
        <w:pStyle w:val="Styl1"/>
        <w:numPr>
          <w:ilvl w:val="0"/>
          <w:numId w:val="0"/>
        </w:numPr>
        <w:ind w:left="426"/>
      </w:pPr>
      <w:r w:rsidRPr="006E7DEC">
        <w:t>STRESZCZENIE</w:t>
      </w:r>
      <w:bookmarkEnd w:id="0"/>
    </w:p>
    <w:p w:rsidR="002A016A" w:rsidRDefault="002A016A" w:rsidP="002A016A">
      <w:pPr>
        <w:pStyle w:val="Akapitzlist"/>
        <w:spacing w:line="360" w:lineRule="auto"/>
        <w:ind w:left="480"/>
        <w:jc w:val="both"/>
        <w:rPr>
          <w:rFonts w:ascii="Gill Sans MT" w:hAnsi="Gill Sans MT"/>
          <w:b/>
          <w:sz w:val="24"/>
          <w:szCs w:val="24"/>
        </w:rPr>
      </w:pPr>
    </w:p>
    <w:p w:rsidR="002A016A" w:rsidRDefault="002A016A" w:rsidP="002A016A">
      <w:pPr>
        <w:spacing w:line="360" w:lineRule="auto"/>
        <w:ind w:firstLine="709"/>
        <w:jc w:val="both"/>
        <w:rPr>
          <w:rFonts w:ascii="Gill Sans MT" w:hAnsi="Gill Sans MT"/>
          <w:sz w:val="24"/>
          <w:szCs w:val="24"/>
        </w:rPr>
      </w:pPr>
      <w:r w:rsidRPr="00F550A6">
        <w:rPr>
          <w:rFonts w:ascii="Gill Sans MT" w:hAnsi="Gill Sans MT"/>
          <w:sz w:val="24"/>
          <w:szCs w:val="24"/>
        </w:rPr>
        <w:t>Narastająca oporność bakterii na antybiotyki stanowi jeden z naj</w:t>
      </w:r>
      <w:r>
        <w:rPr>
          <w:rFonts w:ascii="Gill Sans MT" w:hAnsi="Gill Sans MT"/>
          <w:sz w:val="24"/>
          <w:szCs w:val="24"/>
        </w:rPr>
        <w:t>istotniejszych</w:t>
      </w:r>
      <w:r w:rsidRPr="00F550A6">
        <w:rPr>
          <w:rFonts w:ascii="Gill Sans MT" w:hAnsi="Gill Sans MT"/>
          <w:sz w:val="24"/>
          <w:szCs w:val="24"/>
        </w:rPr>
        <w:t xml:space="preserve"> problemów współczesnej medycyny. Tendencja do kumulowania mechanizmów oporności na różne grupy leków przeciwbakteryjnych wśród </w:t>
      </w:r>
      <w:proofErr w:type="spellStart"/>
      <w:r w:rsidRPr="00F550A6">
        <w:rPr>
          <w:rFonts w:ascii="Gill Sans MT" w:hAnsi="Gill Sans MT"/>
          <w:sz w:val="24"/>
          <w:szCs w:val="24"/>
        </w:rPr>
        <w:t>wielolekoopornych</w:t>
      </w:r>
      <w:proofErr w:type="spellEnd"/>
      <w:r w:rsidRPr="00F550A6">
        <w:rPr>
          <w:rFonts w:ascii="Gill Sans MT" w:hAnsi="Gill Sans MT"/>
          <w:sz w:val="24"/>
          <w:szCs w:val="24"/>
        </w:rPr>
        <w:t xml:space="preserve"> bakterii Gram-ujemnych, znacząco ogranicza możliwości prowadzenia skutecznej terapii chorób </w:t>
      </w:r>
      <w:r w:rsidRPr="005E4BE6">
        <w:rPr>
          <w:rFonts w:ascii="Gill Sans MT" w:hAnsi="Gill Sans MT"/>
          <w:sz w:val="24"/>
          <w:szCs w:val="24"/>
        </w:rPr>
        <w:t>infekcyjnych</w:t>
      </w:r>
      <w:r>
        <w:rPr>
          <w:rFonts w:ascii="Gill Sans MT" w:hAnsi="Gill Sans MT"/>
          <w:sz w:val="24"/>
          <w:szCs w:val="24"/>
        </w:rPr>
        <w:t xml:space="preserve"> przede wszystkim wśród pacjentów hospitalizowanych. </w:t>
      </w:r>
      <w:r w:rsidRPr="00F550A6">
        <w:rPr>
          <w:rFonts w:ascii="Gill Sans MT" w:hAnsi="Gill Sans MT"/>
          <w:sz w:val="24"/>
          <w:szCs w:val="24"/>
        </w:rPr>
        <w:t xml:space="preserve">Jedną z ostatnich grup leków przeciwbakteryjnych zachowujących aktywność wobec </w:t>
      </w:r>
      <w:proofErr w:type="spellStart"/>
      <w:r w:rsidRPr="00F550A6">
        <w:rPr>
          <w:rFonts w:ascii="Gill Sans MT" w:hAnsi="Gill Sans MT"/>
          <w:sz w:val="24"/>
          <w:szCs w:val="24"/>
        </w:rPr>
        <w:t>wielolekoopornych</w:t>
      </w:r>
      <w:proofErr w:type="spellEnd"/>
      <w:r w:rsidRPr="00F550A6">
        <w:rPr>
          <w:rFonts w:ascii="Gill Sans MT" w:hAnsi="Gill Sans MT"/>
          <w:sz w:val="24"/>
          <w:szCs w:val="24"/>
        </w:rPr>
        <w:t xml:space="preserve"> patogenów, są </w:t>
      </w:r>
      <w:proofErr w:type="spellStart"/>
      <w:r w:rsidRPr="00F550A6">
        <w:rPr>
          <w:rFonts w:ascii="Gill Sans MT" w:hAnsi="Gill Sans MT"/>
          <w:sz w:val="24"/>
          <w:szCs w:val="24"/>
        </w:rPr>
        <w:t>karbapenemy</w:t>
      </w:r>
      <w:proofErr w:type="spellEnd"/>
      <w:r>
        <w:rPr>
          <w:rFonts w:ascii="Gill Sans MT" w:hAnsi="Gill Sans MT"/>
          <w:sz w:val="24"/>
          <w:szCs w:val="24"/>
        </w:rPr>
        <w:t>,</w:t>
      </w:r>
      <w:r w:rsidRPr="00F550A6">
        <w:rPr>
          <w:rFonts w:ascii="Gill Sans MT" w:hAnsi="Gill Sans MT"/>
          <w:sz w:val="24"/>
          <w:szCs w:val="24"/>
        </w:rPr>
        <w:t xml:space="preserve"> </w:t>
      </w:r>
      <w:r w:rsidRPr="00693B34">
        <w:rPr>
          <w:rFonts w:ascii="Gill Sans MT" w:hAnsi="Gill Sans MT"/>
          <w:sz w:val="24"/>
          <w:szCs w:val="24"/>
        </w:rPr>
        <w:t>antybiotyki o</w:t>
      </w:r>
      <w:r>
        <w:rPr>
          <w:rFonts w:ascii="Gill Sans MT" w:hAnsi="Gill Sans MT"/>
          <w:sz w:val="24"/>
          <w:szCs w:val="24"/>
        </w:rPr>
        <w:t xml:space="preserve"> wysokiej aktywności bakteriobójczej oraz</w:t>
      </w:r>
      <w:r w:rsidRPr="00693B34">
        <w:rPr>
          <w:rFonts w:ascii="Gill Sans MT" w:hAnsi="Gill Sans MT"/>
          <w:sz w:val="24"/>
          <w:szCs w:val="24"/>
        </w:rPr>
        <w:t xml:space="preserve"> szerokim spektrum działania określane często mianem</w:t>
      </w:r>
      <w:r w:rsidRPr="00F550A6">
        <w:rPr>
          <w:rFonts w:ascii="Gill Sans MT" w:hAnsi="Gill Sans MT"/>
          <w:sz w:val="24"/>
          <w:szCs w:val="24"/>
        </w:rPr>
        <w:t xml:space="preserve"> „leków ostatniej szansy”. Coraz częściej jednak, izoluje się </w:t>
      </w:r>
      <w:r>
        <w:rPr>
          <w:rFonts w:ascii="Gill Sans MT" w:hAnsi="Gill Sans MT"/>
          <w:sz w:val="24"/>
          <w:szCs w:val="24"/>
        </w:rPr>
        <w:t>patogeny</w:t>
      </w:r>
      <w:r w:rsidRPr="00F550A6">
        <w:rPr>
          <w:rFonts w:ascii="Gill Sans MT" w:hAnsi="Gill Sans MT"/>
          <w:sz w:val="24"/>
          <w:szCs w:val="24"/>
        </w:rPr>
        <w:t xml:space="preserve"> wytwarzające zróżnicowane mechanizmy oporności, obejmujące swym spektrum również antybiotyki z grupy </w:t>
      </w:r>
      <w:proofErr w:type="spellStart"/>
      <w:r w:rsidRPr="00F550A6">
        <w:rPr>
          <w:rFonts w:ascii="Gill Sans MT" w:hAnsi="Gill Sans MT"/>
          <w:sz w:val="24"/>
          <w:szCs w:val="24"/>
        </w:rPr>
        <w:t>karbapenemów</w:t>
      </w:r>
      <w:proofErr w:type="spellEnd"/>
      <w:r>
        <w:rPr>
          <w:rFonts w:ascii="Gill Sans MT" w:hAnsi="Gill Sans MT"/>
          <w:sz w:val="24"/>
          <w:szCs w:val="24"/>
        </w:rPr>
        <w:t>, co znacząco ogranicza</w:t>
      </w:r>
      <w:r w:rsidRPr="00F550A6">
        <w:rPr>
          <w:rFonts w:ascii="Gill Sans MT" w:hAnsi="Gill Sans MT"/>
          <w:sz w:val="24"/>
          <w:szCs w:val="24"/>
        </w:rPr>
        <w:t xml:space="preserve"> dostępne opcje terapeutyczne lub przyczynia się do ich całkowitego braku</w:t>
      </w:r>
      <w:r>
        <w:rPr>
          <w:rFonts w:ascii="Gill Sans MT" w:hAnsi="Gill Sans MT"/>
          <w:sz w:val="24"/>
          <w:szCs w:val="24"/>
        </w:rPr>
        <w:t xml:space="preserve">. Wśród mikroorganizmów zdolnych do kumulowania wielu mechanizmów oporności, coraz większe znaczenie odgrywa oportunistyczny patogen </w:t>
      </w:r>
      <w:proofErr w:type="spellStart"/>
      <w:r>
        <w:rPr>
          <w:rFonts w:ascii="Gill Sans MT" w:hAnsi="Gill Sans MT"/>
          <w:i/>
          <w:sz w:val="24"/>
          <w:szCs w:val="24"/>
        </w:rPr>
        <w:t>Enterobacter</w:t>
      </w:r>
      <w:proofErr w:type="spellEnd"/>
      <w:r>
        <w:rPr>
          <w:rFonts w:ascii="Gill Sans MT" w:hAnsi="Gill Sans MT"/>
          <w:i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i/>
          <w:sz w:val="24"/>
          <w:szCs w:val="24"/>
        </w:rPr>
        <w:t>cloacae</w:t>
      </w:r>
      <w:proofErr w:type="spellEnd"/>
      <w:r>
        <w:rPr>
          <w:rFonts w:ascii="Gill Sans MT" w:hAnsi="Gill Sans MT"/>
          <w:i/>
          <w:sz w:val="24"/>
          <w:szCs w:val="24"/>
        </w:rPr>
        <w:t>.</w:t>
      </w:r>
    </w:p>
    <w:p w:rsidR="002A016A" w:rsidRDefault="002A016A" w:rsidP="002A016A">
      <w:pPr>
        <w:spacing w:line="360" w:lineRule="auto"/>
        <w:ind w:firstLine="709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Celem niniejszej pracy </w:t>
      </w:r>
      <w:r w:rsidRPr="008D77A7">
        <w:rPr>
          <w:rFonts w:ascii="Gill Sans MT" w:hAnsi="Gill Sans MT"/>
          <w:bCs/>
          <w:sz w:val="24"/>
        </w:rPr>
        <w:t xml:space="preserve">była </w:t>
      </w:r>
      <w:r>
        <w:rPr>
          <w:rFonts w:ascii="Gill Sans MT" w:hAnsi="Gill Sans MT"/>
          <w:bCs/>
          <w:sz w:val="24"/>
        </w:rPr>
        <w:t xml:space="preserve">fenotypowa oraz molekularna </w:t>
      </w:r>
      <w:r w:rsidRPr="008D77A7">
        <w:rPr>
          <w:rFonts w:ascii="Gill Sans MT" w:hAnsi="Gill Sans MT"/>
          <w:bCs/>
          <w:sz w:val="24"/>
        </w:rPr>
        <w:t xml:space="preserve">analiza podstaw rozwoju oporności na </w:t>
      </w:r>
      <w:proofErr w:type="spellStart"/>
      <w:r w:rsidRPr="008D77A7">
        <w:rPr>
          <w:rFonts w:ascii="Gill Sans MT" w:hAnsi="Gill Sans MT"/>
          <w:bCs/>
          <w:sz w:val="24"/>
        </w:rPr>
        <w:t>karbapenemy</w:t>
      </w:r>
      <w:proofErr w:type="spellEnd"/>
      <w:r w:rsidRPr="008D77A7">
        <w:rPr>
          <w:rFonts w:ascii="Gill Sans MT" w:hAnsi="Gill Sans MT"/>
          <w:bCs/>
          <w:sz w:val="24"/>
        </w:rPr>
        <w:t xml:space="preserve"> wśród </w:t>
      </w:r>
      <w:r>
        <w:rPr>
          <w:rFonts w:ascii="Gill Sans MT" w:hAnsi="Gill Sans MT"/>
          <w:bCs/>
          <w:sz w:val="24"/>
        </w:rPr>
        <w:t xml:space="preserve">65 </w:t>
      </w:r>
      <w:r w:rsidRPr="008D77A7">
        <w:rPr>
          <w:rFonts w:ascii="Gill Sans MT" w:hAnsi="Gill Sans MT"/>
          <w:bCs/>
          <w:sz w:val="24"/>
        </w:rPr>
        <w:t>klini</w:t>
      </w:r>
      <w:r w:rsidRPr="00762DFB">
        <w:rPr>
          <w:rFonts w:ascii="Gill Sans MT" w:hAnsi="Gill Sans MT"/>
          <w:bCs/>
          <w:sz w:val="24"/>
        </w:rPr>
        <w:t>cznych szcze</w:t>
      </w:r>
      <w:r w:rsidRPr="00140DD5">
        <w:rPr>
          <w:rFonts w:ascii="Gill Sans MT" w:hAnsi="Gill Sans MT"/>
          <w:bCs/>
          <w:sz w:val="24"/>
        </w:rPr>
        <w:t xml:space="preserve">pów </w:t>
      </w:r>
      <w:proofErr w:type="spellStart"/>
      <w:r w:rsidRPr="00140DD5">
        <w:rPr>
          <w:rFonts w:ascii="Gill Sans MT" w:hAnsi="Gill Sans MT"/>
          <w:bCs/>
          <w:i/>
          <w:sz w:val="24"/>
        </w:rPr>
        <w:t>Enterobacter</w:t>
      </w:r>
      <w:proofErr w:type="spellEnd"/>
      <w:r w:rsidRPr="00140DD5">
        <w:rPr>
          <w:rFonts w:ascii="Gill Sans MT" w:hAnsi="Gill Sans MT"/>
          <w:bCs/>
          <w:i/>
          <w:sz w:val="24"/>
        </w:rPr>
        <w:t xml:space="preserve"> </w:t>
      </w:r>
      <w:proofErr w:type="spellStart"/>
      <w:r w:rsidRPr="00140DD5">
        <w:rPr>
          <w:rFonts w:ascii="Gill Sans MT" w:hAnsi="Gill Sans MT"/>
          <w:bCs/>
          <w:i/>
          <w:sz w:val="24"/>
        </w:rPr>
        <w:t>cloacae</w:t>
      </w:r>
      <w:proofErr w:type="spellEnd"/>
      <w:r w:rsidRPr="00140DD5">
        <w:rPr>
          <w:rFonts w:ascii="Gill Sans MT" w:hAnsi="Gill Sans MT"/>
          <w:bCs/>
          <w:sz w:val="24"/>
        </w:rPr>
        <w:t>.</w:t>
      </w:r>
      <w:r>
        <w:rPr>
          <w:rFonts w:ascii="Gill Sans MT" w:hAnsi="Gill Sans MT"/>
          <w:bCs/>
          <w:sz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Wśród analizowanej subpopulacji 44 szczepy charakteryzowały się opornością na co najmniej jedną substancję z grupy </w:t>
      </w:r>
      <w:proofErr w:type="spellStart"/>
      <w:r>
        <w:rPr>
          <w:rFonts w:ascii="Gill Sans MT" w:hAnsi="Gill Sans MT"/>
          <w:sz w:val="24"/>
          <w:szCs w:val="24"/>
        </w:rPr>
        <w:t>karbapenemów</w:t>
      </w:r>
      <w:proofErr w:type="spellEnd"/>
      <w:r>
        <w:rPr>
          <w:rFonts w:ascii="Gill Sans MT" w:hAnsi="Gill Sans MT"/>
          <w:sz w:val="24"/>
          <w:szCs w:val="24"/>
        </w:rPr>
        <w:t xml:space="preserve">, podczas gdy grupę kontrolną stanowiło 21 szczepów </w:t>
      </w:r>
      <w:proofErr w:type="spellStart"/>
      <w:r>
        <w:rPr>
          <w:rFonts w:ascii="Gill Sans MT" w:hAnsi="Gill Sans MT"/>
          <w:i/>
          <w:sz w:val="24"/>
          <w:szCs w:val="24"/>
        </w:rPr>
        <w:t>Enterobacter</w:t>
      </w:r>
      <w:proofErr w:type="spellEnd"/>
      <w:r>
        <w:rPr>
          <w:rFonts w:ascii="Gill Sans MT" w:hAnsi="Gill Sans MT"/>
          <w:i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i/>
          <w:sz w:val="24"/>
          <w:szCs w:val="24"/>
        </w:rPr>
        <w:t>cloacae</w:t>
      </w:r>
      <w:proofErr w:type="spellEnd"/>
      <w:r>
        <w:rPr>
          <w:rFonts w:ascii="Gill Sans MT" w:hAnsi="Gill Sans MT"/>
          <w:i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wrażliwych na </w:t>
      </w:r>
      <w:proofErr w:type="spellStart"/>
      <w:r>
        <w:rPr>
          <w:rFonts w:ascii="Gill Sans MT" w:hAnsi="Gill Sans MT"/>
          <w:sz w:val="24"/>
          <w:szCs w:val="24"/>
        </w:rPr>
        <w:t>karbapenemy</w:t>
      </w:r>
      <w:proofErr w:type="spellEnd"/>
      <w:r>
        <w:rPr>
          <w:rFonts w:ascii="Gill Sans MT" w:hAnsi="Gill Sans MT"/>
          <w:sz w:val="24"/>
          <w:szCs w:val="24"/>
        </w:rPr>
        <w:t xml:space="preserve">. </w:t>
      </w:r>
    </w:p>
    <w:p w:rsidR="002A016A" w:rsidRDefault="002A016A" w:rsidP="002A016A">
      <w:pPr>
        <w:spacing w:line="360" w:lineRule="auto"/>
        <w:ind w:firstLine="709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W grupie szczepów opornych na </w:t>
      </w:r>
      <w:proofErr w:type="spellStart"/>
      <w:r>
        <w:rPr>
          <w:rFonts w:ascii="Gill Sans MT" w:hAnsi="Gill Sans MT"/>
          <w:sz w:val="24"/>
        </w:rPr>
        <w:t>karbapenemy</w:t>
      </w:r>
      <w:proofErr w:type="spellEnd"/>
      <w:r>
        <w:rPr>
          <w:rFonts w:ascii="Gill Sans MT" w:hAnsi="Gill Sans MT"/>
          <w:sz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(grupa „R”) </w:t>
      </w:r>
      <w:r>
        <w:rPr>
          <w:rFonts w:ascii="Gill Sans MT" w:hAnsi="Gill Sans MT"/>
          <w:sz w:val="24"/>
        </w:rPr>
        <w:t xml:space="preserve">zidentyfikowano trzy odrębne mechanizmy mogące warunkować fenotyp oporności na </w:t>
      </w:r>
      <w:proofErr w:type="spellStart"/>
      <w:r>
        <w:rPr>
          <w:rFonts w:ascii="Gill Sans MT" w:hAnsi="Gill Sans MT"/>
          <w:sz w:val="24"/>
        </w:rPr>
        <w:t>karbapenemy</w:t>
      </w:r>
      <w:proofErr w:type="spellEnd"/>
      <w:r>
        <w:rPr>
          <w:rFonts w:ascii="Gill Sans MT" w:hAnsi="Gill Sans MT"/>
          <w:sz w:val="24"/>
        </w:rPr>
        <w:t xml:space="preserve">. Mechanizmem unikatowym w skali przeprowadzonego badania, zidentyfikowanym w przypadku dwóch szczepów </w:t>
      </w:r>
      <w:proofErr w:type="spellStart"/>
      <w:r>
        <w:rPr>
          <w:rFonts w:ascii="Gill Sans MT" w:hAnsi="Gill Sans MT"/>
          <w:i/>
          <w:sz w:val="24"/>
        </w:rPr>
        <w:t>Enterobacter</w:t>
      </w:r>
      <w:proofErr w:type="spellEnd"/>
      <w:r>
        <w:rPr>
          <w:rFonts w:ascii="Gill Sans MT" w:hAnsi="Gill Sans MT"/>
          <w:i/>
          <w:sz w:val="24"/>
        </w:rPr>
        <w:t xml:space="preserve"> </w:t>
      </w:r>
      <w:proofErr w:type="spellStart"/>
      <w:r>
        <w:rPr>
          <w:rFonts w:ascii="Gill Sans MT" w:hAnsi="Gill Sans MT"/>
          <w:i/>
          <w:sz w:val="24"/>
        </w:rPr>
        <w:t>cloacae</w:t>
      </w:r>
      <w:proofErr w:type="spellEnd"/>
      <w:r>
        <w:rPr>
          <w:rFonts w:ascii="Gill Sans MT" w:hAnsi="Gill Sans MT"/>
          <w:i/>
          <w:sz w:val="24"/>
        </w:rPr>
        <w:t xml:space="preserve"> </w:t>
      </w:r>
      <w:r>
        <w:rPr>
          <w:rFonts w:ascii="Gill Sans MT" w:hAnsi="Gill Sans MT"/>
          <w:sz w:val="24"/>
        </w:rPr>
        <w:t xml:space="preserve">opornych na </w:t>
      </w:r>
      <w:proofErr w:type="spellStart"/>
      <w:r>
        <w:rPr>
          <w:rFonts w:ascii="Gill Sans MT" w:hAnsi="Gill Sans MT"/>
          <w:sz w:val="24"/>
        </w:rPr>
        <w:t>karbapenemy</w:t>
      </w:r>
      <w:proofErr w:type="spellEnd"/>
      <w:r>
        <w:rPr>
          <w:rFonts w:ascii="Gill Sans MT" w:hAnsi="Gill Sans MT"/>
          <w:i/>
          <w:sz w:val="24"/>
        </w:rPr>
        <w:t xml:space="preserve"> </w:t>
      </w:r>
      <w:r>
        <w:rPr>
          <w:rFonts w:ascii="Gill Sans MT" w:hAnsi="Gill Sans MT"/>
          <w:sz w:val="24"/>
        </w:rPr>
        <w:t xml:space="preserve">(5%) była zdolność do produkcji nabytej </w:t>
      </w:r>
      <w:proofErr w:type="spellStart"/>
      <w:r w:rsidRPr="00992357">
        <w:rPr>
          <w:rFonts w:ascii="Gill Sans MT" w:hAnsi="Gill Sans MT"/>
          <w:sz w:val="24"/>
        </w:rPr>
        <w:t>karbapenemazy</w:t>
      </w:r>
      <w:proofErr w:type="spellEnd"/>
      <w:r w:rsidRPr="00992357">
        <w:rPr>
          <w:rFonts w:ascii="Gill Sans MT" w:hAnsi="Gill Sans MT"/>
          <w:sz w:val="24"/>
        </w:rPr>
        <w:t xml:space="preserve"> </w:t>
      </w:r>
      <w:r>
        <w:rPr>
          <w:rFonts w:ascii="Gill Sans MT" w:hAnsi="Gill Sans MT"/>
          <w:sz w:val="24"/>
        </w:rPr>
        <w:t xml:space="preserve">OXA-48. </w:t>
      </w:r>
    </w:p>
    <w:p w:rsidR="002A016A" w:rsidRPr="004E2402" w:rsidRDefault="002A016A" w:rsidP="002A016A">
      <w:pPr>
        <w:spacing w:line="360" w:lineRule="auto"/>
        <w:ind w:firstLine="709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Oprócz produkcji nabytej </w:t>
      </w:r>
      <w:proofErr w:type="spellStart"/>
      <w:r>
        <w:rPr>
          <w:rFonts w:ascii="Gill Sans MT" w:hAnsi="Gill Sans MT"/>
          <w:sz w:val="24"/>
          <w:szCs w:val="24"/>
        </w:rPr>
        <w:t>karbapenemazy</w:t>
      </w:r>
      <w:proofErr w:type="spellEnd"/>
      <w:r>
        <w:rPr>
          <w:rFonts w:ascii="Gill Sans MT" w:hAnsi="Gill Sans MT"/>
          <w:sz w:val="24"/>
          <w:szCs w:val="24"/>
        </w:rPr>
        <w:t xml:space="preserve">, obserwowano współwystępowanie dwóch odrębnych mechanizmów oporności związanych z antybiotykami </w:t>
      </w:r>
      <w:r>
        <w:rPr>
          <w:rFonts w:ascii="Times New Roman" w:hAnsi="Times New Roman"/>
          <w:sz w:val="24"/>
          <w:szCs w:val="24"/>
        </w:rPr>
        <w:t>β</w:t>
      </w:r>
      <w:r>
        <w:rPr>
          <w:rFonts w:ascii="Gill Sans MT" w:hAnsi="Gill Sans MT"/>
          <w:sz w:val="24"/>
          <w:szCs w:val="24"/>
        </w:rPr>
        <w:t>-</w:t>
      </w:r>
      <w:proofErr w:type="spellStart"/>
      <w:r>
        <w:rPr>
          <w:rFonts w:ascii="Gill Sans MT" w:hAnsi="Gill Sans MT"/>
          <w:sz w:val="24"/>
          <w:szCs w:val="24"/>
        </w:rPr>
        <w:t>laktamowymi</w:t>
      </w:r>
      <w:proofErr w:type="spellEnd"/>
      <w:r>
        <w:rPr>
          <w:rFonts w:ascii="Gill Sans MT" w:hAnsi="Gill Sans MT"/>
          <w:sz w:val="24"/>
          <w:szCs w:val="24"/>
        </w:rPr>
        <w:t xml:space="preserve"> – konstytutywnej nadprodukcji </w:t>
      </w:r>
      <w:proofErr w:type="spellStart"/>
      <w:r>
        <w:rPr>
          <w:rFonts w:ascii="Gill Sans MT" w:hAnsi="Gill Sans MT"/>
          <w:sz w:val="24"/>
          <w:szCs w:val="24"/>
        </w:rPr>
        <w:t>cefalosporynazy</w:t>
      </w:r>
      <w:proofErr w:type="spellEnd"/>
      <w:r>
        <w:rPr>
          <w:rFonts w:ascii="Gill Sans MT" w:hAnsi="Gill Sans MT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</w:rPr>
        <w:t>AmpC</w:t>
      </w:r>
      <w:proofErr w:type="spellEnd"/>
      <w:r>
        <w:rPr>
          <w:rFonts w:ascii="Gill Sans MT" w:hAnsi="Gill Sans MT"/>
          <w:sz w:val="24"/>
          <w:szCs w:val="24"/>
        </w:rPr>
        <w:t xml:space="preserve"> oraz zmian w profilu genów kodujących białka </w:t>
      </w:r>
      <w:proofErr w:type="spellStart"/>
      <w:r>
        <w:rPr>
          <w:rFonts w:ascii="Gill Sans MT" w:hAnsi="Gill Sans MT"/>
          <w:sz w:val="24"/>
          <w:szCs w:val="24"/>
        </w:rPr>
        <w:t>porynowe</w:t>
      </w:r>
      <w:proofErr w:type="spellEnd"/>
      <w:r>
        <w:rPr>
          <w:rFonts w:ascii="Gill Sans MT" w:hAnsi="Gill Sans MT"/>
          <w:sz w:val="24"/>
          <w:szCs w:val="24"/>
        </w:rPr>
        <w:t xml:space="preserve">. Pierwszy ze współwystępujących mechanizmów był charakterystyczny dla </w:t>
      </w:r>
      <w:r>
        <w:rPr>
          <w:rFonts w:ascii="Gill Sans MT" w:hAnsi="Gill Sans MT"/>
          <w:sz w:val="24"/>
          <w:szCs w:val="24"/>
        </w:rPr>
        <w:lastRenderedPageBreak/>
        <w:t xml:space="preserve">większości  szczepów </w:t>
      </w:r>
      <w:proofErr w:type="spellStart"/>
      <w:r>
        <w:rPr>
          <w:rFonts w:ascii="Gill Sans MT" w:hAnsi="Gill Sans MT"/>
          <w:i/>
          <w:sz w:val="24"/>
          <w:szCs w:val="24"/>
        </w:rPr>
        <w:t>Enterobacter</w:t>
      </w:r>
      <w:proofErr w:type="spellEnd"/>
      <w:r>
        <w:rPr>
          <w:rFonts w:ascii="Gill Sans MT" w:hAnsi="Gill Sans MT"/>
          <w:i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i/>
          <w:sz w:val="24"/>
          <w:szCs w:val="24"/>
        </w:rPr>
        <w:t>cloacae</w:t>
      </w:r>
      <w:proofErr w:type="spellEnd"/>
      <w:r>
        <w:rPr>
          <w:rFonts w:ascii="Gill Sans MT" w:hAnsi="Gill Sans MT"/>
          <w:i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z grupy „R” (97,7%). Modyfikacje w profilu genów kodujących białka </w:t>
      </w:r>
      <w:proofErr w:type="spellStart"/>
      <w:r>
        <w:rPr>
          <w:rFonts w:ascii="Gill Sans MT" w:hAnsi="Gill Sans MT"/>
          <w:sz w:val="24"/>
          <w:szCs w:val="24"/>
        </w:rPr>
        <w:t>porynowe</w:t>
      </w:r>
      <w:proofErr w:type="spellEnd"/>
      <w:r>
        <w:rPr>
          <w:rFonts w:ascii="Gill Sans MT" w:hAnsi="Gill Sans MT"/>
          <w:sz w:val="24"/>
          <w:szCs w:val="24"/>
        </w:rPr>
        <w:t xml:space="preserve"> występowały w przypadku większości szczepów z grupy „R”. Relatywny spadek poziomu ekspresji genu </w:t>
      </w:r>
      <w:proofErr w:type="spellStart"/>
      <w:r w:rsidRPr="00CF37BE">
        <w:rPr>
          <w:rFonts w:ascii="Gill Sans MT" w:hAnsi="Gill Sans MT"/>
          <w:i/>
          <w:sz w:val="24"/>
          <w:szCs w:val="24"/>
        </w:rPr>
        <w:t>ompF</w:t>
      </w:r>
      <w:proofErr w:type="spellEnd"/>
      <w:r>
        <w:rPr>
          <w:rFonts w:ascii="Gill Sans MT" w:hAnsi="Gill Sans MT"/>
          <w:sz w:val="24"/>
          <w:szCs w:val="24"/>
        </w:rPr>
        <w:t xml:space="preserve">, kodującego białko </w:t>
      </w:r>
      <w:proofErr w:type="spellStart"/>
      <w:r>
        <w:rPr>
          <w:rFonts w:ascii="Gill Sans MT" w:hAnsi="Gill Sans MT"/>
          <w:sz w:val="24"/>
          <w:szCs w:val="24"/>
        </w:rPr>
        <w:t>porynowe</w:t>
      </w:r>
      <w:proofErr w:type="spellEnd"/>
      <w:r>
        <w:rPr>
          <w:rFonts w:ascii="Gill Sans MT" w:hAnsi="Gill Sans MT"/>
          <w:sz w:val="24"/>
          <w:szCs w:val="24"/>
        </w:rPr>
        <w:t xml:space="preserve"> najbardziej istotne dla wydajnego transportu antybiotyków </w:t>
      </w:r>
      <w:r>
        <w:rPr>
          <w:rFonts w:ascii="Times New Roman" w:hAnsi="Times New Roman"/>
          <w:sz w:val="24"/>
          <w:szCs w:val="24"/>
        </w:rPr>
        <w:t>β</w:t>
      </w:r>
      <w:r>
        <w:rPr>
          <w:rFonts w:ascii="Gill Sans MT" w:hAnsi="Gill Sans MT"/>
          <w:sz w:val="24"/>
          <w:szCs w:val="24"/>
        </w:rPr>
        <w:t>-</w:t>
      </w:r>
      <w:proofErr w:type="spellStart"/>
      <w:r>
        <w:rPr>
          <w:rFonts w:ascii="Gill Sans MT" w:hAnsi="Gill Sans MT"/>
          <w:sz w:val="24"/>
          <w:szCs w:val="24"/>
        </w:rPr>
        <w:t>laktamowych</w:t>
      </w:r>
      <w:proofErr w:type="spellEnd"/>
      <w:r>
        <w:rPr>
          <w:rFonts w:ascii="Gill Sans MT" w:hAnsi="Gill Sans MT"/>
          <w:sz w:val="24"/>
          <w:szCs w:val="24"/>
        </w:rPr>
        <w:t xml:space="preserve"> do przestrzeni </w:t>
      </w:r>
      <w:proofErr w:type="spellStart"/>
      <w:r>
        <w:rPr>
          <w:rFonts w:ascii="Gill Sans MT" w:hAnsi="Gill Sans MT"/>
          <w:sz w:val="24"/>
          <w:szCs w:val="24"/>
        </w:rPr>
        <w:t>peryplazmatycznej</w:t>
      </w:r>
      <w:proofErr w:type="spellEnd"/>
      <w:r>
        <w:rPr>
          <w:rFonts w:ascii="Gill Sans MT" w:hAnsi="Gill Sans MT"/>
          <w:sz w:val="24"/>
          <w:szCs w:val="24"/>
        </w:rPr>
        <w:t xml:space="preserve"> występował u większości szczepów grupy „R” (53,4%). Drugim zjawiskiem odnotowanym w grupie szczepów opornych na </w:t>
      </w:r>
      <w:proofErr w:type="spellStart"/>
      <w:r>
        <w:rPr>
          <w:rFonts w:ascii="Gill Sans MT" w:hAnsi="Gill Sans MT"/>
          <w:sz w:val="24"/>
          <w:szCs w:val="24"/>
        </w:rPr>
        <w:t>karbapenemy</w:t>
      </w:r>
      <w:proofErr w:type="spellEnd"/>
      <w:r>
        <w:rPr>
          <w:rFonts w:ascii="Gill Sans MT" w:hAnsi="Gill Sans MT"/>
          <w:sz w:val="24"/>
          <w:szCs w:val="24"/>
        </w:rPr>
        <w:t xml:space="preserve"> była polaryzacja balansu produkowanych białek błony zewnętrznej w kierunku białka </w:t>
      </w:r>
      <w:proofErr w:type="spellStart"/>
      <w:r>
        <w:rPr>
          <w:rFonts w:ascii="Gill Sans MT" w:hAnsi="Gill Sans MT"/>
          <w:sz w:val="24"/>
          <w:szCs w:val="24"/>
        </w:rPr>
        <w:t>OmpC</w:t>
      </w:r>
      <w:proofErr w:type="spellEnd"/>
      <w:r>
        <w:rPr>
          <w:rFonts w:ascii="Gill Sans MT" w:hAnsi="Gill Sans MT"/>
          <w:sz w:val="24"/>
          <w:szCs w:val="24"/>
        </w:rPr>
        <w:t xml:space="preserve"> z wąskim, bardziej restrykcyjnym kanałem transbłonowym (79,1%). W grupie szczepów </w:t>
      </w:r>
      <w:proofErr w:type="spellStart"/>
      <w:r>
        <w:rPr>
          <w:rFonts w:ascii="Gill Sans MT" w:hAnsi="Gill Sans MT"/>
          <w:i/>
          <w:sz w:val="24"/>
          <w:szCs w:val="24"/>
        </w:rPr>
        <w:t>Enterobacter</w:t>
      </w:r>
      <w:proofErr w:type="spellEnd"/>
      <w:r>
        <w:rPr>
          <w:rFonts w:ascii="Gill Sans MT" w:hAnsi="Gill Sans MT"/>
          <w:i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i/>
          <w:sz w:val="24"/>
          <w:szCs w:val="24"/>
        </w:rPr>
        <w:t>cloacae</w:t>
      </w:r>
      <w:proofErr w:type="spellEnd"/>
      <w:r>
        <w:rPr>
          <w:rFonts w:ascii="Gill Sans MT" w:hAnsi="Gill Sans MT"/>
          <w:i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wrażliwych na </w:t>
      </w:r>
      <w:proofErr w:type="spellStart"/>
      <w:r>
        <w:rPr>
          <w:rFonts w:ascii="Gill Sans MT" w:hAnsi="Gill Sans MT"/>
          <w:sz w:val="24"/>
          <w:szCs w:val="24"/>
        </w:rPr>
        <w:t>karbapenemy</w:t>
      </w:r>
      <w:proofErr w:type="spellEnd"/>
      <w:r>
        <w:rPr>
          <w:rFonts w:ascii="Gill Sans MT" w:hAnsi="Gill Sans MT"/>
          <w:sz w:val="24"/>
          <w:szCs w:val="24"/>
        </w:rPr>
        <w:t xml:space="preserve"> dominował  genotyp balansu </w:t>
      </w:r>
      <w:proofErr w:type="spellStart"/>
      <w:r>
        <w:rPr>
          <w:rFonts w:ascii="Gill Sans MT" w:hAnsi="Gill Sans MT"/>
          <w:sz w:val="24"/>
          <w:szCs w:val="24"/>
        </w:rPr>
        <w:t>porynowego</w:t>
      </w:r>
      <w:proofErr w:type="spellEnd"/>
      <w:r>
        <w:rPr>
          <w:rFonts w:ascii="Gill Sans MT" w:hAnsi="Gill Sans MT"/>
          <w:sz w:val="24"/>
          <w:szCs w:val="24"/>
        </w:rPr>
        <w:t xml:space="preserve">, w przypadku którego przepuszczalność błony zewnętrznej była determinowana przez białko </w:t>
      </w:r>
      <w:proofErr w:type="spellStart"/>
      <w:r>
        <w:rPr>
          <w:rFonts w:ascii="Gill Sans MT" w:hAnsi="Gill Sans MT"/>
          <w:sz w:val="24"/>
          <w:szCs w:val="24"/>
        </w:rPr>
        <w:t>OmpF</w:t>
      </w:r>
      <w:proofErr w:type="spellEnd"/>
      <w:r>
        <w:rPr>
          <w:rFonts w:ascii="Gill Sans MT" w:hAnsi="Gill Sans MT"/>
          <w:sz w:val="24"/>
          <w:szCs w:val="24"/>
        </w:rPr>
        <w:t xml:space="preserve"> (33,3%). Drugą pod względem liczności grupę szczepów wrażliwych na </w:t>
      </w:r>
      <w:proofErr w:type="spellStart"/>
      <w:r>
        <w:rPr>
          <w:rFonts w:ascii="Gill Sans MT" w:hAnsi="Gill Sans MT"/>
          <w:sz w:val="24"/>
          <w:szCs w:val="24"/>
        </w:rPr>
        <w:t>karbapenemy</w:t>
      </w:r>
      <w:proofErr w:type="spellEnd"/>
      <w:r>
        <w:rPr>
          <w:rFonts w:ascii="Gill Sans MT" w:hAnsi="Gill Sans MT"/>
          <w:sz w:val="24"/>
          <w:szCs w:val="24"/>
        </w:rPr>
        <w:t>, stanowiły patogeny o niezmienionej przepuszczalności błony zewnętrznej (28,6%).</w:t>
      </w:r>
    </w:p>
    <w:p w:rsidR="002A016A" w:rsidRDefault="002A016A" w:rsidP="002A016A">
      <w:pPr>
        <w:spacing w:line="360" w:lineRule="auto"/>
        <w:ind w:firstLine="709"/>
        <w:jc w:val="both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Pokrewieństwo genetyczne badanych szczepów </w:t>
      </w:r>
      <w:proofErr w:type="spellStart"/>
      <w:r>
        <w:rPr>
          <w:rFonts w:ascii="Gill Sans MT" w:hAnsi="Gill Sans MT"/>
          <w:i/>
          <w:sz w:val="24"/>
          <w:szCs w:val="24"/>
        </w:rPr>
        <w:t>Enterobacter</w:t>
      </w:r>
      <w:proofErr w:type="spellEnd"/>
      <w:r>
        <w:rPr>
          <w:rFonts w:ascii="Gill Sans MT" w:hAnsi="Gill Sans MT"/>
          <w:i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i/>
          <w:sz w:val="24"/>
          <w:szCs w:val="24"/>
        </w:rPr>
        <w:t>cloacae</w:t>
      </w:r>
      <w:proofErr w:type="spellEnd"/>
      <w:r>
        <w:rPr>
          <w:rFonts w:ascii="Gill Sans MT" w:hAnsi="Gill Sans MT"/>
          <w:sz w:val="24"/>
          <w:szCs w:val="24"/>
        </w:rPr>
        <w:t xml:space="preserve"> zostało zbadane z wykorzystaniem analizy sekwencji nukleotydowej genów metabolizmu podstawowego w schemacie MLST oraz metody maksymalnej </w:t>
      </w:r>
      <w:proofErr w:type="spellStart"/>
      <w:r w:rsidRPr="00E62971">
        <w:rPr>
          <w:rFonts w:ascii="Gill Sans MT" w:hAnsi="Gill Sans MT"/>
          <w:sz w:val="24"/>
          <w:szCs w:val="24"/>
        </w:rPr>
        <w:t>parsymonii</w:t>
      </w:r>
      <w:proofErr w:type="spellEnd"/>
      <w:r w:rsidRPr="00E62971">
        <w:rPr>
          <w:rFonts w:ascii="Gill Sans MT" w:hAnsi="Gill Sans MT"/>
          <w:sz w:val="24"/>
          <w:szCs w:val="24"/>
        </w:rPr>
        <w:t xml:space="preserve"> w analizie filogenetycznej. </w:t>
      </w:r>
      <w:r>
        <w:rPr>
          <w:rFonts w:ascii="Gill Sans MT" w:hAnsi="Gill Sans MT"/>
          <w:sz w:val="24"/>
          <w:szCs w:val="24"/>
        </w:rPr>
        <w:t xml:space="preserve">Przeprowadzone analizy </w:t>
      </w:r>
      <w:r w:rsidRPr="00E62971">
        <w:rPr>
          <w:rFonts w:ascii="Gill Sans MT" w:hAnsi="Gill Sans MT"/>
          <w:sz w:val="24"/>
          <w:szCs w:val="24"/>
        </w:rPr>
        <w:t>pozwolił</w:t>
      </w:r>
      <w:r>
        <w:rPr>
          <w:rFonts w:ascii="Gill Sans MT" w:hAnsi="Gill Sans MT"/>
          <w:sz w:val="24"/>
          <w:szCs w:val="24"/>
        </w:rPr>
        <w:t>y</w:t>
      </w:r>
      <w:r w:rsidRPr="00E62971">
        <w:rPr>
          <w:rFonts w:ascii="Gill Sans MT" w:hAnsi="Gill Sans MT"/>
          <w:sz w:val="24"/>
          <w:szCs w:val="24"/>
        </w:rPr>
        <w:t xml:space="preserve"> na opisanie pięciu unikatowych alleli genów metabolizmu podstawowego  oraz pię</w:t>
      </w:r>
      <w:r>
        <w:rPr>
          <w:rFonts w:ascii="Gill Sans MT" w:hAnsi="Gill Sans MT"/>
          <w:sz w:val="24"/>
          <w:szCs w:val="24"/>
        </w:rPr>
        <w:t xml:space="preserve">ciu nowych typów sekwencyjnych. Grupa szczepów wrażliwych na </w:t>
      </w:r>
      <w:proofErr w:type="spellStart"/>
      <w:r>
        <w:rPr>
          <w:rFonts w:ascii="Gill Sans MT" w:hAnsi="Gill Sans MT"/>
          <w:sz w:val="24"/>
          <w:szCs w:val="24"/>
        </w:rPr>
        <w:t>karbapenemy</w:t>
      </w:r>
      <w:proofErr w:type="spellEnd"/>
      <w:r>
        <w:rPr>
          <w:rFonts w:ascii="Gill Sans MT" w:hAnsi="Gill Sans MT"/>
          <w:sz w:val="24"/>
          <w:szCs w:val="24"/>
        </w:rPr>
        <w:t xml:space="preserve"> charakteryzowała się wysokim stopniem zróżnicowania typów sekwencyjnych, wśród których nie udało się wyszczególnić grupy dominującej. Wśród szczepów </w:t>
      </w:r>
      <w:proofErr w:type="spellStart"/>
      <w:r>
        <w:rPr>
          <w:rFonts w:ascii="Gill Sans MT" w:hAnsi="Gill Sans MT"/>
          <w:i/>
          <w:sz w:val="24"/>
          <w:szCs w:val="24"/>
        </w:rPr>
        <w:t>Enterobacter</w:t>
      </w:r>
      <w:proofErr w:type="spellEnd"/>
      <w:r>
        <w:rPr>
          <w:rFonts w:ascii="Gill Sans MT" w:hAnsi="Gill Sans MT"/>
          <w:i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i/>
          <w:sz w:val="24"/>
          <w:szCs w:val="24"/>
        </w:rPr>
        <w:t>cloacae</w:t>
      </w:r>
      <w:proofErr w:type="spellEnd"/>
      <w:r>
        <w:rPr>
          <w:rFonts w:ascii="Gill Sans MT" w:hAnsi="Gill Sans MT"/>
          <w:i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z grupy „R” zdecydowanie dominuje typ sekwencyjny ST-89 (88,6%; n=39) co sugeruje klonalne rozprzestrzenianie opornych szczepów </w:t>
      </w:r>
      <w:proofErr w:type="spellStart"/>
      <w:r>
        <w:rPr>
          <w:rFonts w:ascii="Gill Sans MT" w:hAnsi="Gill Sans MT"/>
          <w:i/>
          <w:sz w:val="24"/>
          <w:szCs w:val="24"/>
        </w:rPr>
        <w:t>Enterobacter</w:t>
      </w:r>
      <w:proofErr w:type="spellEnd"/>
      <w:r>
        <w:rPr>
          <w:rFonts w:ascii="Gill Sans MT" w:hAnsi="Gill Sans MT"/>
          <w:i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i/>
          <w:sz w:val="24"/>
          <w:szCs w:val="24"/>
        </w:rPr>
        <w:t>cloacae</w:t>
      </w:r>
      <w:proofErr w:type="spellEnd"/>
      <w:r>
        <w:rPr>
          <w:rFonts w:ascii="Gill Sans MT" w:hAnsi="Gill Sans MT"/>
          <w:i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wśród pacjentów Uniwersyteckiego Szpitala Klinicznego oraz Uniwersyteckiego Dziecięcego Szpitala Klinicznego w Białymstoku</w:t>
      </w:r>
      <w:r>
        <w:rPr>
          <w:rFonts w:ascii="Gill Sans MT" w:hAnsi="Gill Sans MT" w:cs="Arial"/>
          <w:sz w:val="24"/>
          <w:szCs w:val="24"/>
        </w:rPr>
        <w:t>.</w:t>
      </w:r>
    </w:p>
    <w:p w:rsidR="002A016A" w:rsidRPr="0088204D" w:rsidRDefault="002A016A" w:rsidP="002A016A">
      <w:pPr>
        <w:spacing w:line="360" w:lineRule="auto"/>
        <w:ind w:firstLine="709"/>
        <w:jc w:val="both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Rozpowszechnienie</w:t>
      </w:r>
      <w:r w:rsidRPr="00885DF1">
        <w:rPr>
          <w:rFonts w:ascii="Gill Sans MT" w:hAnsi="Gill Sans MT" w:cs="Arial"/>
          <w:sz w:val="24"/>
          <w:szCs w:val="24"/>
        </w:rPr>
        <w:t xml:space="preserve"> mikroorganizmów opornych na w</w:t>
      </w:r>
      <w:r>
        <w:rPr>
          <w:rFonts w:ascii="Gill Sans MT" w:hAnsi="Gill Sans MT" w:cs="Arial"/>
          <w:sz w:val="24"/>
          <w:szCs w:val="24"/>
        </w:rPr>
        <w:t>iększość</w:t>
      </w:r>
      <w:r w:rsidRPr="00885DF1">
        <w:rPr>
          <w:rFonts w:ascii="Gill Sans MT" w:hAnsi="Gill Sans MT" w:cs="Arial"/>
          <w:sz w:val="24"/>
          <w:szCs w:val="24"/>
        </w:rPr>
        <w:t xml:space="preserve"> </w:t>
      </w:r>
      <w:r>
        <w:rPr>
          <w:rFonts w:ascii="Gill Sans MT" w:hAnsi="Gill Sans MT" w:cs="Arial"/>
          <w:sz w:val="24"/>
          <w:szCs w:val="24"/>
        </w:rPr>
        <w:t xml:space="preserve">lub wszystkie </w:t>
      </w:r>
      <w:r w:rsidRPr="00885DF1">
        <w:rPr>
          <w:rFonts w:ascii="Gill Sans MT" w:hAnsi="Gill Sans MT" w:cs="Arial"/>
          <w:sz w:val="24"/>
          <w:szCs w:val="24"/>
        </w:rPr>
        <w:t>obecnie dostępn</w:t>
      </w:r>
      <w:r>
        <w:rPr>
          <w:rFonts w:ascii="Gill Sans MT" w:hAnsi="Gill Sans MT" w:cs="Arial"/>
          <w:sz w:val="24"/>
          <w:szCs w:val="24"/>
        </w:rPr>
        <w:t>e</w:t>
      </w:r>
      <w:r w:rsidRPr="00885DF1">
        <w:rPr>
          <w:rFonts w:ascii="Gill Sans MT" w:hAnsi="Gill Sans MT" w:cs="Arial"/>
          <w:sz w:val="24"/>
          <w:szCs w:val="24"/>
        </w:rPr>
        <w:t xml:space="preserve"> </w:t>
      </w:r>
      <w:r>
        <w:rPr>
          <w:rFonts w:ascii="Gill Sans MT" w:hAnsi="Gill Sans MT" w:cs="Arial"/>
          <w:sz w:val="24"/>
          <w:szCs w:val="24"/>
        </w:rPr>
        <w:t>leki przeciwbakteryjne, pozwala sądzić że wkrótce</w:t>
      </w:r>
      <w:r w:rsidRPr="00885DF1">
        <w:rPr>
          <w:rFonts w:ascii="Gill Sans MT" w:hAnsi="Gill Sans MT" w:cs="Arial"/>
          <w:sz w:val="24"/>
          <w:szCs w:val="24"/>
        </w:rPr>
        <w:t xml:space="preserve"> </w:t>
      </w:r>
      <w:r>
        <w:rPr>
          <w:rFonts w:ascii="Gill Sans MT" w:hAnsi="Gill Sans MT" w:cs="Arial"/>
          <w:sz w:val="24"/>
          <w:szCs w:val="24"/>
        </w:rPr>
        <w:t>możliwości</w:t>
      </w:r>
      <w:r w:rsidRPr="00885DF1">
        <w:rPr>
          <w:rFonts w:ascii="Gill Sans MT" w:hAnsi="Gill Sans MT" w:cs="Arial"/>
          <w:sz w:val="24"/>
          <w:szCs w:val="24"/>
        </w:rPr>
        <w:t xml:space="preserve"> terapeutyczne</w:t>
      </w:r>
      <w:r>
        <w:rPr>
          <w:rFonts w:ascii="Gill Sans MT" w:hAnsi="Gill Sans MT" w:cs="Arial"/>
          <w:sz w:val="24"/>
          <w:szCs w:val="24"/>
        </w:rPr>
        <w:t xml:space="preserve"> w chorobach infekcyjnych</w:t>
      </w:r>
      <w:r w:rsidRPr="00885DF1">
        <w:rPr>
          <w:rFonts w:ascii="Gill Sans MT" w:hAnsi="Gill Sans MT" w:cs="Arial"/>
          <w:sz w:val="24"/>
          <w:szCs w:val="24"/>
        </w:rPr>
        <w:t xml:space="preserve"> </w:t>
      </w:r>
      <w:r>
        <w:rPr>
          <w:rFonts w:ascii="Gill Sans MT" w:hAnsi="Gill Sans MT" w:cs="Arial"/>
          <w:sz w:val="24"/>
          <w:szCs w:val="24"/>
        </w:rPr>
        <w:t>mogą być podobne</w:t>
      </w:r>
      <w:r w:rsidRPr="00885DF1">
        <w:rPr>
          <w:rFonts w:ascii="Gill Sans MT" w:hAnsi="Gill Sans MT" w:cs="Arial"/>
          <w:sz w:val="24"/>
          <w:szCs w:val="24"/>
        </w:rPr>
        <w:t xml:space="preserve"> do tych występujących jeszcze przed wprowadzeniem pierwszego leku przeciwbakteryjnego do </w:t>
      </w:r>
      <w:r>
        <w:rPr>
          <w:rFonts w:ascii="Gill Sans MT" w:hAnsi="Gill Sans MT" w:cs="Arial"/>
          <w:sz w:val="24"/>
          <w:szCs w:val="24"/>
        </w:rPr>
        <w:t>leczenia</w:t>
      </w:r>
      <w:r w:rsidRPr="00885DF1">
        <w:rPr>
          <w:rFonts w:ascii="Gill Sans MT" w:hAnsi="Gill Sans MT" w:cs="Arial"/>
          <w:sz w:val="24"/>
          <w:szCs w:val="24"/>
        </w:rPr>
        <w:t xml:space="preserve">. </w:t>
      </w:r>
    </w:p>
    <w:p w:rsidR="002A016A" w:rsidRDefault="002A016A" w:rsidP="002A016A">
      <w:pPr>
        <w:pStyle w:val="Styl1"/>
        <w:numPr>
          <w:ilvl w:val="0"/>
          <w:numId w:val="0"/>
        </w:numPr>
        <w:ind w:left="426"/>
      </w:pPr>
      <w:bookmarkStart w:id="2" w:name="_Toc448843243"/>
    </w:p>
    <w:p w:rsidR="002A016A" w:rsidRDefault="002A016A" w:rsidP="002A016A">
      <w:pPr>
        <w:pStyle w:val="Styl1"/>
        <w:numPr>
          <w:ilvl w:val="0"/>
          <w:numId w:val="0"/>
        </w:numPr>
        <w:ind w:left="426"/>
      </w:pPr>
    </w:p>
    <w:p w:rsidR="002A016A" w:rsidRDefault="002A016A" w:rsidP="002A016A">
      <w:pPr>
        <w:pStyle w:val="Styl1"/>
        <w:numPr>
          <w:ilvl w:val="0"/>
          <w:numId w:val="0"/>
        </w:numPr>
        <w:ind w:left="426"/>
      </w:pPr>
    </w:p>
    <w:p w:rsidR="002A016A" w:rsidRDefault="002A016A" w:rsidP="002A016A">
      <w:pPr>
        <w:pStyle w:val="Styl1"/>
        <w:numPr>
          <w:ilvl w:val="0"/>
          <w:numId w:val="0"/>
        </w:numPr>
        <w:ind w:left="426"/>
      </w:pPr>
    </w:p>
    <w:p w:rsidR="002A016A" w:rsidRDefault="002A016A" w:rsidP="002A016A">
      <w:pPr>
        <w:pStyle w:val="Styl1"/>
        <w:numPr>
          <w:ilvl w:val="0"/>
          <w:numId w:val="0"/>
        </w:numPr>
        <w:ind w:left="426"/>
      </w:pPr>
    </w:p>
    <w:p w:rsidR="002A016A" w:rsidRDefault="002A016A" w:rsidP="002A016A">
      <w:pPr>
        <w:pStyle w:val="Styl1"/>
        <w:numPr>
          <w:ilvl w:val="0"/>
          <w:numId w:val="0"/>
        </w:numPr>
        <w:ind w:left="426"/>
      </w:pPr>
    </w:p>
    <w:p w:rsidR="002A016A" w:rsidRDefault="002A016A" w:rsidP="002A016A">
      <w:pPr>
        <w:pStyle w:val="Styl1"/>
        <w:numPr>
          <w:ilvl w:val="0"/>
          <w:numId w:val="0"/>
        </w:numPr>
        <w:ind w:left="426"/>
      </w:pPr>
    </w:p>
    <w:p w:rsidR="002A016A" w:rsidRDefault="002A016A" w:rsidP="002A016A">
      <w:pPr>
        <w:pStyle w:val="Styl1"/>
        <w:numPr>
          <w:ilvl w:val="0"/>
          <w:numId w:val="0"/>
        </w:numPr>
        <w:ind w:left="426"/>
      </w:pPr>
      <w:r w:rsidRPr="006E7DEC">
        <w:t>SUMMARY</w:t>
      </w:r>
      <w:bookmarkEnd w:id="2"/>
    </w:p>
    <w:p w:rsidR="002A016A" w:rsidRDefault="002A016A" w:rsidP="002A016A">
      <w:pPr>
        <w:pStyle w:val="Akapitzlist"/>
        <w:spacing w:line="360" w:lineRule="auto"/>
        <w:ind w:left="480"/>
        <w:jc w:val="both"/>
        <w:rPr>
          <w:rFonts w:ascii="Gill Sans MT" w:hAnsi="Gill Sans MT"/>
          <w:b/>
          <w:sz w:val="24"/>
          <w:szCs w:val="24"/>
        </w:rPr>
      </w:pPr>
    </w:p>
    <w:p w:rsidR="002A016A" w:rsidRDefault="002A016A" w:rsidP="002A016A">
      <w:pPr>
        <w:spacing w:line="360" w:lineRule="auto"/>
        <w:ind w:firstLine="709"/>
        <w:jc w:val="both"/>
        <w:rPr>
          <w:rFonts w:ascii="Gill Sans MT" w:hAnsi="Gill Sans MT"/>
          <w:sz w:val="24"/>
          <w:szCs w:val="24"/>
          <w:lang w:val="en-US"/>
        </w:rPr>
      </w:pPr>
      <w:r w:rsidRPr="000043B1">
        <w:rPr>
          <w:rFonts w:ascii="Gill Sans MT" w:hAnsi="Gill Sans MT"/>
          <w:sz w:val="24"/>
          <w:szCs w:val="24"/>
          <w:lang w:val="en-US"/>
        </w:rPr>
        <w:t xml:space="preserve">The growing incidence of </w:t>
      </w:r>
      <w:r>
        <w:rPr>
          <w:rFonts w:ascii="Gill Sans MT" w:hAnsi="Gill Sans MT"/>
          <w:sz w:val="24"/>
          <w:szCs w:val="24"/>
          <w:lang w:val="en-US"/>
        </w:rPr>
        <w:t xml:space="preserve">drug </w:t>
      </w:r>
      <w:r w:rsidRPr="000043B1">
        <w:rPr>
          <w:rFonts w:ascii="Gill Sans MT" w:hAnsi="Gill Sans MT"/>
          <w:sz w:val="24"/>
          <w:szCs w:val="24"/>
          <w:lang w:val="en-US"/>
        </w:rPr>
        <w:t>resistance</w:t>
      </w:r>
      <w:r>
        <w:rPr>
          <w:rFonts w:ascii="Gill Sans MT" w:hAnsi="Gill Sans MT"/>
          <w:sz w:val="24"/>
          <w:szCs w:val="24"/>
          <w:lang w:val="en-US"/>
        </w:rPr>
        <w:t xml:space="preserve"> in bacteria</w:t>
      </w:r>
      <w:r w:rsidRPr="000043B1">
        <w:rPr>
          <w:rFonts w:ascii="Gill Sans MT" w:hAnsi="Gill Sans MT"/>
          <w:sz w:val="24"/>
          <w:szCs w:val="24"/>
          <w:lang w:val="en-US"/>
        </w:rPr>
        <w:t xml:space="preserve"> </w:t>
      </w:r>
      <w:r>
        <w:rPr>
          <w:rFonts w:ascii="Gill Sans MT" w:hAnsi="Gill Sans MT"/>
          <w:sz w:val="24"/>
          <w:szCs w:val="24"/>
          <w:lang w:val="en-US"/>
        </w:rPr>
        <w:t xml:space="preserve">is an emerging challenge in modern medicine. Enormous propensity of Gram-negative bacteria to accumulate various mechanisms of drug-resistance poses an especially high danger in the hospital environment. The utility of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carbapenems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, which are considered “last-line” agents in therapy of infections caused by multidrug-resistant pathogens, is being diminished by the growing incidence of various resistance mechanisms in bacteria. </w:t>
      </w:r>
      <w:r>
        <w:rPr>
          <w:rFonts w:ascii="Gill Sans MT" w:hAnsi="Gill Sans MT"/>
          <w:i/>
          <w:sz w:val="24"/>
          <w:szCs w:val="24"/>
          <w:lang w:val="en-US"/>
        </w:rPr>
        <w:t xml:space="preserve">Enterobacter cloacae </w:t>
      </w:r>
      <w:r>
        <w:rPr>
          <w:rFonts w:ascii="Gill Sans MT" w:hAnsi="Gill Sans MT"/>
          <w:sz w:val="24"/>
          <w:szCs w:val="24"/>
          <w:lang w:val="en-US"/>
        </w:rPr>
        <w:t>have lately begun to emerge as an important pathogen prone to exhibiting multiple drug resistance mechanisms and represents particularly high risk in the healthcare setting.</w:t>
      </w:r>
    </w:p>
    <w:p w:rsidR="002A016A" w:rsidRDefault="002A016A" w:rsidP="002A016A">
      <w:pPr>
        <w:spacing w:line="360" w:lineRule="auto"/>
        <w:ind w:firstLine="709"/>
        <w:jc w:val="both"/>
        <w:rPr>
          <w:rFonts w:ascii="Gill Sans MT" w:hAnsi="Gill Sans MT"/>
          <w:sz w:val="24"/>
          <w:szCs w:val="24"/>
          <w:lang w:val="en-US"/>
        </w:rPr>
      </w:pPr>
      <w:r>
        <w:rPr>
          <w:rFonts w:ascii="Gill Sans MT" w:hAnsi="Gill Sans MT"/>
          <w:sz w:val="24"/>
          <w:szCs w:val="24"/>
          <w:lang w:val="en-US"/>
        </w:rPr>
        <w:t xml:space="preserve">This study aimed to investigate the molecular basis of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carbapenem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-resistance in 65 </w:t>
      </w:r>
      <w:r>
        <w:rPr>
          <w:rFonts w:ascii="Gill Sans MT" w:hAnsi="Gill Sans MT"/>
          <w:i/>
          <w:sz w:val="24"/>
          <w:szCs w:val="24"/>
          <w:lang w:val="en-US"/>
        </w:rPr>
        <w:t xml:space="preserve">Enterobacter cloacae </w:t>
      </w:r>
      <w:r>
        <w:rPr>
          <w:rFonts w:ascii="Gill Sans MT" w:hAnsi="Gill Sans MT"/>
          <w:sz w:val="24"/>
          <w:szCs w:val="24"/>
          <w:lang w:val="en-US"/>
        </w:rPr>
        <w:t xml:space="preserve">clinical strains. Among analyzed subpopulation, 44 strains exhibited resistance to at least one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carbapenem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 agent, while the control group consisted of 21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carbapenem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-susceptible clinical </w:t>
      </w:r>
      <w:r>
        <w:rPr>
          <w:rFonts w:ascii="Gill Sans MT" w:hAnsi="Gill Sans MT"/>
          <w:i/>
          <w:sz w:val="24"/>
          <w:szCs w:val="24"/>
          <w:lang w:val="en-US"/>
        </w:rPr>
        <w:t xml:space="preserve">Enterobacter cloacae </w:t>
      </w:r>
      <w:r>
        <w:rPr>
          <w:rFonts w:ascii="Gill Sans MT" w:hAnsi="Gill Sans MT"/>
          <w:sz w:val="24"/>
          <w:szCs w:val="24"/>
          <w:lang w:val="en-US"/>
        </w:rPr>
        <w:t xml:space="preserve">strains. </w:t>
      </w:r>
    </w:p>
    <w:p w:rsidR="002A016A" w:rsidRDefault="002A016A" w:rsidP="002A016A">
      <w:pPr>
        <w:spacing w:line="360" w:lineRule="auto"/>
        <w:ind w:firstLine="709"/>
        <w:jc w:val="both"/>
        <w:rPr>
          <w:rFonts w:ascii="Gill Sans MT" w:hAnsi="Gill Sans MT"/>
          <w:sz w:val="24"/>
          <w:szCs w:val="24"/>
          <w:lang w:val="en-US"/>
        </w:rPr>
      </w:pPr>
      <w:r>
        <w:rPr>
          <w:rFonts w:ascii="Gill Sans MT" w:hAnsi="Gill Sans MT"/>
          <w:sz w:val="24"/>
          <w:szCs w:val="24"/>
          <w:lang w:val="en-US"/>
        </w:rPr>
        <w:t xml:space="preserve">Three distinct mechanisms of resistance to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carbapenems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 have been reported in examined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carbapenem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-resistant </w:t>
      </w:r>
      <w:r>
        <w:rPr>
          <w:rFonts w:ascii="Gill Sans MT" w:hAnsi="Gill Sans MT"/>
          <w:i/>
          <w:sz w:val="24"/>
          <w:szCs w:val="24"/>
          <w:lang w:val="en-US"/>
        </w:rPr>
        <w:t xml:space="preserve">Enterobacter cloacae </w:t>
      </w:r>
      <w:r>
        <w:rPr>
          <w:rFonts w:ascii="Gill Sans MT" w:hAnsi="Gill Sans MT"/>
          <w:sz w:val="24"/>
          <w:szCs w:val="24"/>
          <w:lang w:val="en-US"/>
        </w:rPr>
        <w:t xml:space="preserve">subpopulation. The ability to produce acquired OXA-48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carbapenemase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 was the unique mechanism of resistance noted for only two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carbapenem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-resistant strains (5%). Apart from the production of acquired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carbapenemase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, coexistence of two distinct mechanisms of resistance to </w:t>
      </w:r>
      <w:r>
        <w:rPr>
          <w:rFonts w:ascii="Times New Roman" w:hAnsi="Times New Roman"/>
          <w:sz w:val="24"/>
          <w:szCs w:val="24"/>
          <w:lang w:val="en-US"/>
        </w:rPr>
        <w:t>β</w:t>
      </w:r>
      <w:r>
        <w:rPr>
          <w:rFonts w:ascii="Gill Sans MT" w:hAnsi="Gill Sans MT"/>
          <w:sz w:val="24"/>
          <w:szCs w:val="24"/>
          <w:lang w:val="en-US"/>
        </w:rPr>
        <w:t xml:space="preserve">-lactam antimicrobials has been reported – constitutive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AmpC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cephalosporinase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 overproduction coupled with outer membrane permeability defects.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Cephalosporinase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 overproduction was common in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carbapenem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-resistant </w:t>
      </w:r>
      <w:r>
        <w:rPr>
          <w:rFonts w:ascii="Gill Sans MT" w:hAnsi="Gill Sans MT"/>
          <w:i/>
          <w:sz w:val="24"/>
          <w:szCs w:val="24"/>
          <w:lang w:val="en-US"/>
        </w:rPr>
        <w:t xml:space="preserve">Enterobacter cloacae </w:t>
      </w:r>
      <w:r>
        <w:rPr>
          <w:rFonts w:ascii="Gill Sans MT" w:hAnsi="Gill Sans MT"/>
          <w:sz w:val="24"/>
          <w:szCs w:val="24"/>
          <w:lang w:val="en-US"/>
        </w:rPr>
        <w:t xml:space="preserve">strains (97,7%). </w:t>
      </w:r>
    </w:p>
    <w:p w:rsidR="002A016A" w:rsidRDefault="002A016A" w:rsidP="002A016A">
      <w:pPr>
        <w:spacing w:line="360" w:lineRule="auto"/>
        <w:ind w:firstLine="709"/>
        <w:jc w:val="both"/>
        <w:rPr>
          <w:rFonts w:ascii="Gill Sans MT" w:hAnsi="Gill Sans MT"/>
          <w:sz w:val="24"/>
          <w:szCs w:val="24"/>
          <w:lang w:val="en-US"/>
        </w:rPr>
      </w:pPr>
      <w:r>
        <w:rPr>
          <w:rFonts w:ascii="Gill Sans MT" w:hAnsi="Gill Sans MT"/>
          <w:sz w:val="24"/>
          <w:szCs w:val="24"/>
          <w:lang w:val="en-US"/>
        </w:rPr>
        <w:t xml:space="preserve">Alterations in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porin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 encoding genes expression was present in most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carbapenem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-resistant </w:t>
      </w:r>
      <w:r>
        <w:rPr>
          <w:rFonts w:ascii="Gill Sans MT" w:hAnsi="Gill Sans MT"/>
          <w:i/>
          <w:sz w:val="24"/>
          <w:szCs w:val="24"/>
          <w:lang w:val="en-US"/>
        </w:rPr>
        <w:t xml:space="preserve">Enterobacter cloacae </w:t>
      </w:r>
      <w:r>
        <w:rPr>
          <w:rFonts w:ascii="Gill Sans MT" w:hAnsi="Gill Sans MT"/>
          <w:sz w:val="24"/>
          <w:szCs w:val="24"/>
          <w:lang w:val="en-US"/>
        </w:rPr>
        <w:t xml:space="preserve">strains. Relative decrease of </w:t>
      </w:r>
      <w:proofErr w:type="spellStart"/>
      <w:r>
        <w:rPr>
          <w:rFonts w:ascii="Gill Sans MT" w:hAnsi="Gill Sans MT"/>
          <w:i/>
          <w:sz w:val="24"/>
          <w:szCs w:val="24"/>
          <w:lang w:val="en-US"/>
        </w:rPr>
        <w:t>ompF</w:t>
      </w:r>
      <w:proofErr w:type="spellEnd"/>
      <w:r>
        <w:rPr>
          <w:rFonts w:ascii="Gill Sans MT" w:hAnsi="Gill Sans MT"/>
          <w:i/>
          <w:sz w:val="24"/>
          <w:szCs w:val="24"/>
          <w:lang w:val="en-US"/>
        </w:rPr>
        <w:t xml:space="preserve"> </w:t>
      </w:r>
      <w:r>
        <w:rPr>
          <w:rFonts w:ascii="Gill Sans MT" w:hAnsi="Gill Sans MT"/>
          <w:sz w:val="24"/>
          <w:szCs w:val="24"/>
          <w:lang w:val="en-US"/>
        </w:rPr>
        <w:t xml:space="preserve">gene expression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havs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 been reported in 53,4%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carbapenem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-resistant strains. Downregulated </w:t>
      </w:r>
      <w:proofErr w:type="spellStart"/>
      <w:r>
        <w:rPr>
          <w:rFonts w:ascii="Gill Sans MT" w:hAnsi="Gill Sans MT"/>
          <w:i/>
          <w:sz w:val="24"/>
          <w:szCs w:val="24"/>
          <w:lang w:val="en-US"/>
        </w:rPr>
        <w:t>ompF</w:t>
      </w:r>
      <w:proofErr w:type="spellEnd"/>
      <w:r>
        <w:rPr>
          <w:rFonts w:ascii="Gill Sans MT" w:hAnsi="Gill Sans MT"/>
          <w:i/>
          <w:sz w:val="24"/>
          <w:szCs w:val="24"/>
          <w:lang w:val="en-US"/>
        </w:rPr>
        <w:t xml:space="preserve"> </w:t>
      </w:r>
      <w:r>
        <w:rPr>
          <w:rFonts w:ascii="Gill Sans MT" w:hAnsi="Gill Sans MT"/>
          <w:sz w:val="24"/>
          <w:szCs w:val="24"/>
          <w:lang w:val="en-US"/>
        </w:rPr>
        <w:t xml:space="preserve">gene encodes protein with extensive transmembrane channel crucial for efficient </w:t>
      </w:r>
      <w:r>
        <w:rPr>
          <w:rFonts w:ascii="Times New Roman" w:hAnsi="Times New Roman"/>
          <w:sz w:val="24"/>
          <w:szCs w:val="24"/>
          <w:lang w:val="en-US"/>
        </w:rPr>
        <w:t>β</w:t>
      </w:r>
      <w:r>
        <w:rPr>
          <w:rFonts w:ascii="Gill Sans MT" w:hAnsi="Gill Sans MT"/>
          <w:sz w:val="24"/>
          <w:szCs w:val="24"/>
          <w:lang w:val="en-US"/>
        </w:rPr>
        <w:t xml:space="preserve">-lactam penetration into periplasm. The polarization of outer membrane protein balance was the another phenomenon described in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carbapenem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-resistant </w:t>
      </w:r>
      <w:r>
        <w:rPr>
          <w:rFonts w:ascii="Gill Sans MT" w:hAnsi="Gill Sans MT"/>
          <w:i/>
          <w:sz w:val="24"/>
          <w:szCs w:val="24"/>
          <w:lang w:val="en-US"/>
        </w:rPr>
        <w:t xml:space="preserve">Enterobacter cloacae </w:t>
      </w:r>
      <w:r>
        <w:rPr>
          <w:rFonts w:ascii="Gill Sans MT" w:hAnsi="Gill Sans MT"/>
          <w:sz w:val="24"/>
          <w:szCs w:val="24"/>
          <w:lang w:val="en-US"/>
        </w:rPr>
        <w:t xml:space="preserve">subpopulation. Outer membrane permeability in most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carbapenem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-resistant strains (79,1%) was established by </w:t>
      </w:r>
      <w:proofErr w:type="spellStart"/>
      <w:r>
        <w:rPr>
          <w:rFonts w:ascii="Gill Sans MT" w:hAnsi="Gill Sans MT"/>
          <w:sz w:val="24"/>
          <w:szCs w:val="24"/>
          <w:lang w:val="en-US"/>
        </w:rPr>
        <w:lastRenderedPageBreak/>
        <w:t>OmpC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 protein recently reported to possess restrictive transmembrane channel.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OmpF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porin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 was responsible for outer membrane permeability in most of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carbapenem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-susceptible </w:t>
      </w:r>
      <w:r>
        <w:rPr>
          <w:rFonts w:ascii="Gill Sans MT" w:hAnsi="Gill Sans MT"/>
          <w:i/>
          <w:sz w:val="24"/>
          <w:szCs w:val="24"/>
          <w:lang w:val="en-US"/>
        </w:rPr>
        <w:t xml:space="preserve">Enterobacter cloacae </w:t>
      </w:r>
      <w:r>
        <w:rPr>
          <w:rFonts w:ascii="Gill Sans MT" w:hAnsi="Gill Sans MT"/>
          <w:sz w:val="24"/>
          <w:szCs w:val="24"/>
          <w:lang w:val="en-US"/>
        </w:rPr>
        <w:t xml:space="preserve">strains (33,3%). The second largest group of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carbapenem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-susceptible strains consisted of pathogens with relatively unchanged outer membrane permeability (28,6%). </w:t>
      </w:r>
    </w:p>
    <w:p w:rsidR="002A016A" w:rsidRDefault="002A016A" w:rsidP="002A016A">
      <w:pPr>
        <w:spacing w:line="360" w:lineRule="auto"/>
        <w:ind w:firstLine="709"/>
        <w:jc w:val="both"/>
        <w:rPr>
          <w:rFonts w:ascii="Gill Sans MT" w:hAnsi="Gill Sans MT"/>
          <w:sz w:val="24"/>
          <w:szCs w:val="24"/>
          <w:lang w:val="en-US"/>
        </w:rPr>
      </w:pPr>
      <w:r>
        <w:rPr>
          <w:rFonts w:ascii="Gill Sans MT" w:hAnsi="Gill Sans MT"/>
          <w:sz w:val="24"/>
          <w:szCs w:val="24"/>
          <w:lang w:val="en-US"/>
        </w:rPr>
        <w:t xml:space="preserve">Genetic relatedness among examined </w:t>
      </w:r>
      <w:r>
        <w:rPr>
          <w:rFonts w:ascii="Gill Sans MT" w:hAnsi="Gill Sans MT"/>
          <w:i/>
          <w:sz w:val="24"/>
          <w:szCs w:val="24"/>
          <w:lang w:val="en-US"/>
        </w:rPr>
        <w:t xml:space="preserve">Enterobacter cloacae </w:t>
      </w:r>
      <w:r>
        <w:rPr>
          <w:rFonts w:ascii="Gill Sans MT" w:hAnsi="Gill Sans MT"/>
          <w:sz w:val="24"/>
          <w:szCs w:val="24"/>
          <w:lang w:val="en-US"/>
        </w:rPr>
        <w:t xml:space="preserve">subpopulation was analyzed with use of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multilocus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-sequence typing scheme and phylogenetic maximum parsimony method. Performed nucleotide sequence analyses allowed to describe five unique alleles of housekeeping genes and five novel sequence types. Subpopulation of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carbapenem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-susceptible </w:t>
      </w:r>
      <w:r>
        <w:rPr>
          <w:rFonts w:ascii="Gill Sans MT" w:hAnsi="Gill Sans MT"/>
          <w:i/>
          <w:sz w:val="24"/>
          <w:szCs w:val="24"/>
          <w:lang w:val="en-US"/>
        </w:rPr>
        <w:t xml:space="preserve">Enterobacter cloacae </w:t>
      </w:r>
      <w:r>
        <w:rPr>
          <w:rFonts w:ascii="Gill Sans MT" w:hAnsi="Gill Sans MT"/>
          <w:sz w:val="24"/>
          <w:szCs w:val="24"/>
          <w:lang w:val="en-US"/>
        </w:rPr>
        <w:t xml:space="preserve">strains showed relatively high degree of sequence diversity without any predominant type. Sequence type 89 (ST-89) clearly dominates among </w:t>
      </w:r>
      <w:proofErr w:type="spellStart"/>
      <w:r>
        <w:rPr>
          <w:rFonts w:ascii="Gill Sans MT" w:hAnsi="Gill Sans MT"/>
          <w:sz w:val="24"/>
          <w:szCs w:val="24"/>
          <w:lang w:val="en-US"/>
        </w:rPr>
        <w:t>carbapenem</w:t>
      </w:r>
      <w:proofErr w:type="spellEnd"/>
      <w:r>
        <w:rPr>
          <w:rFonts w:ascii="Gill Sans MT" w:hAnsi="Gill Sans MT"/>
          <w:sz w:val="24"/>
          <w:szCs w:val="24"/>
          <w:lang w:val="en-US"/>
        </w:rPr>
        <w:t xml:space="preserve">-resistant strains (88,6%) suggesting clonal spread of resistant strains among patients of University Hospital and University Children’s Hospital of Bialystok. </w:t>
      </w:r>
    </w:p>
    <w:p w:rsidR="002A016A" w:rsidRDefault="002A016A" w:rsidP="002A016A">
      <w:pPr>
        <w:spacing w:line="360" w:lineRule="auto"/>
        <w:ind w:firstLine="709"/>
        <w:jc w:val="both"/>
        <w:rPr>
          <w:rFonts w:ascii="Gill Sans MT" w:hAnsi="Gill Sans MT"/>
          <w:sz w:val="24"/>
          <w:szCs w:val="24"/>
          <w:lang w:val="en-US"/>
        </w:rPr>
      </w:pPr>
      <w:r>
        <w:rPr>
          <w:rFonts w:ascii="Gill Sans MT" w:hAnsi="Gill Sans MT"/>
          <w:sz w:val="24"/>
          <w:szCs w:val="24"/>
          <w:lang w:val="en-US"/>
        </w:rPr>
        <w:t xml:space="preserve">The growing prevalence of pathogens resistant to most or even all currently available antimicrobial agents heralds potential risk of future “post-antibiotic era”. Available therapeutic options in infectious diseases may be similar to those before introduction of the first antimicrobial agent into therapy. </w:t>
      </w:r>
    </w:p>
    <w:p w:rsidR="004F2CFA" w:rsidRPr="002A016A" w:rsidRDefault="004F2CFA">
      <w:pPr>
        <w:rPr>
          <w:lang w:val="en-US"/>
        </w:rPr>
      </w:pPr>
    </w:p>
    <w:sectPr w:rsidR="004F2CFA" w:rsidRPr="002A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787" w:rsidRDefault="002A016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B2787" w:rsidRDefault="002A016A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559B"/>
    <w:multiLevelType w:val="hybridMultilevel"/>
    <w:tmpl w:val="AAAE6A62"/>
    <w:lvl w:ilvl="0" w:tplc="CABAF43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6A"/>
    <w:rsid w:val="002A016A"/>
    <w:rsid w:val="003355F1"/>
    <w:rsid w:val="0035581F"/>
    <w:rsid w:val="004F2CFA"/>
    <w:rsid w:val="0061014E"/>
    <w:rsid w:val="007A2065"/>
    <w:rsid w:val="008A1571"/>
    <w:rsid w:val="00A810EF"/>
    <w:rsid w:val="00CC3A86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16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016A"/>
    <w:pPr>
      <w:ind w:left="720"/>
      <w:contextualSpacing/>
    </w:pPr>
  </w:style>
  <w:style w:type="paragraph" w:customStyle="1" w:styleId="Styl1">
    <w:name w:val="Styl1"/>
    <w:basedOn w:val="Akapitzlist"/>
    <w:link w:val="Styl1Znak"/>
    <w:qFormat/>
    <w:rsid w:val="002A016A"/>
    <w:pPr>
      <w:numPr>
        <w:numId w:val="1"/>
      </w:numPr>
      <w:spacing w:line="360" w:lineRule="auto"/>
      <w:ind w:left="426"/>
      <w:jc w:val="both"/>
    </w:pPr>
    <w:rPr>
      <w:rFonts w:ascii="Gill Sans MT" w:hAnsi="Gill Sans MT"/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A016A"/>
    <w:rPr>
      <w:rFonts w:ascii="Calibri" w:eastAsia="Calibri" w:hAnsi="Calibri" w:cs="Times New Roman"/>
    </w:rPr>
  </w:style>
  <w:style w:type="character" w:customStyle="1" w:styleId="Styl1Znak">
    <w:name w:val="Styl1 Znak"/>
    <w:link w:val="Styl1"/>
    <w:rsid w:val="002A016A"/>
    <w:rPr>
      <w:rFonts w:ascii="Gill Sans MT" w:eastAsia="Calibri" w:hAnsi="Gill Sans MT" w:cs="Times New Roman"/>
      <w:b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A0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1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16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016A"/>
    <w:pPr>
      <w:ind w:left="720"/>
      <w:contextualSpacing/>
    </w:pPr>
  </w:style>
  <w:style w:type="paragraph" w:customStyle="1" w:styleId="Styl1">
    <w:name w:val="Styl1"/>
    <w:basedOn w:val="Akapitzlist"/>
    <w:link w:val="Styl1Znak"/>
    <w:qFormat/>
    <w:rsid w:val="002A016A"/>
    <w:pPr>
      <w:numPr>
        <w:numId w:val="1"/>
      </w:numPr>
      <w:spacing w:line="360" w:lineRule="auto"/>
      <w:ind w:left="426"/>
      <w:jc w:val="both"/>
    </w:pPr>
    <w:rPr>
      <w:rFonts w:ascii="Gill Sans MT" w:hAnsi="Gill Sans MT"/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A016A"/>
    <w:rPr>
      <w:rFonts w:ascii="Calibri" w:eastAsia="Calibri" w:hAnsi="Calibri" w:cs="Times New Roman"/>
    </w:rPr>
  </w:style>
  <w:style w:type="character" w:customStyle="1" w:styleId="Styl1Znak">
    <w:name w:val="Styl1 Znak"/>
    <w:link w:val="Styl1"/>
    <w:rsid w:val="002A016A"/>
    <w:rPr>
      <w:rFonts w:ascii="Gill Sans MT" w:eastAsia="Calibri" w:hAnsi="Gill Sans MT" w:cs="Times New Roman"/>
      <w:b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A0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1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1187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Edyta Rysiak</cp:lastModifiedBy>
  <cp:revision>1</cp:revision>
  <dcterms:created xsi:type="dcterms:W3CDTF">2016-09-05T07:52:00Z</dcterms:created>
  <dcterms:modified xsi:type="dcterms:W3CDTF">2016-09-05T07:55:00Z</dcterms:modified>
</cp:coreProperties>
</file>