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3" w:type="dxa"/>
        <w:tblInd w:w="108" w:type="dxa"/>
        <w:tblLayout w:type="fixed"/>
        <w:tblLook w:val="0000" w:firstRow="0" w:lastRow="0" w:firstColumn="0" w:lastColumn="0" w:noHBand="0" w:noVBand="0"/>
      </w:tblPr>
      <w:tblGrid>
        <w:gridCol w:w="9333"/>
      </w:tblGrid>
      <w:tr w:rsidR="0033272C" w:rsidTr="00BA1421">
        <w:trPr>
          <w:trHeight w:val="1460"/>
        </w:trPr>
        <w:tc>
          <w:tcPr>
            <w:tcW w:w="9333" w:type="dxa"/>
            <w:shd w:val="clear" w:color="auto" w:fill="auto"/>
            <w:vAlign w:val="center"/>
          </w:tcPr>
          <w:p w:rsidR="0033272C" w:rsidRDefault="0033272C" w:rsidP="00BA1421">
            <w:pPr>
              <w:spacing w:after="200" w:line="360" w:lineRule="auto"/>
              <w:jc w:val="center"/>
              <w:rPr>
                <w:rFonts w:ascii="Times New Roman" w:hAnsi="Times New Roman"/>
                <w:b/>
                <w:sz w:val="24"/>
                <w:szCs w:val="24"/>
              </w:rPr>
            </w:pPr>
            <w:bookmarkStart w:id="0" w:name="_Toc444371943"/>
            <w:r>
              <w:rPr>
                <w:rFonts w:ascii="Times New Roman" w:hAnsi="Times New Roman"/>
                <w:b/>
                <w:sz w:val="24"/>
                <w:szCs w:val="24"/>
              </w:rPr>
              <w:t>UNIWERSYTET MEDYCZNY W BIAŁYMSTOKU</w:t>
            </w:r>
          </w:p>
          <w:p w:rsidR="0033272C" w:rsidRDefault="0033272C" w:rsidP="00BA1421">
            <w:pPr>
              <w:spacing w:after="200" w:line="360" w:lineRule="auto"/>
              <w:jc w:val="center"/>
              <w:rPr>
                <w:rFonts w:ascii="Times New Roman" w:hAnsi="Times New Roman"/>
                <w:b/>
                <w:sz w:val="24"/>
                <w:szCs w:val="24"/>
              </w:rPr>
            </w:pPr>
            <w:r>
              <w:rPr>
                <w:rFonts w:ascii="Times New Roman" w:hAnsi="Times New Roman"/>
                <w:b/>
                <w:sz w:val="24"/>
                <w:szCs w:val="24"/>
              </w:rPr>
              <w:t>WYDZIAŁ FARMACEUTYCZNY</w:t>
            </w:r>
          </w:p>
          <w:p w:rsidR="0033272C" w:rsidRDefault="0033272C" w:rsidP="00BA1421">
            <w:pPr>
              <w:spacing w:after="200" w:line="360" w:lineRule="auto"/>
              <w:jc w:val="center"/>
            </w:pPr>
            <w:r>
              <w:rPr>
                <w:rFonts w:ascii="Times New Roman" w:hAnsi="Times New Roman"/>
                <w:b/>
                <w:sz w:val="24"/>
                <w:szCs w:val="24"/>
              </w:rPr>
              <w:t>Z ODDZIAŁEM MEDYCYNY LABORATORYJNEJ</w:t>
            </w:r>
          </w:p>
        </w:tc>
      </w:tr>
      <w:tr w:rsidR="0033272C" w:rsidTr="00BA1421">
        <w:trPr>
          <w:trHeight w:val="730"/>
        </w:trPr>
        <w:tc>
          <w:tcPr>
            <w:tcW w:w="9333" w:type="dxa"/>
            <w:shd w:val="clear" w:color="auto" w:fill="auto"/>
            <w:vAlign w:val="center"/>
          </w:tcPr>
          <w:p w:rsidR="0033272C" w:rsidRDefault="0033272C" w:rsidP="00BA1421">
            <w:pPr>
              <w:snapToGrid w:val="0"/>
              <w:spacing w:after="200" w:line="276" w:lineRule="auto"/>
              <w:rPr>
                <w:rFonts w:ascii="Times New Roman" w:hAnsi="Times New Roman"/>
                <w:b/>
                <w:sz w:val="32"/>
                <w:szCs w:val="32"/>
              </w:rPr>
            </w:pPr>
          </w:p>
          <w:p w:rsidR="0033272C" w:rsidRDefault="0033272C" w:rsidP="00BA1421">
            <w:pPr>
              <w:spacing w:after="200" w:line="276" w:lineRule="auto"/>
              <w:jc w:val="center"/>
            </w:pPr>
            <w:r>
              <w:rPr>
                <w:rFonts w:ascii="Times New Roman" w:hAnsi="Times New Roman"/>
                <w:noProof/>
                <w:sz w:val="44"/>
                <w:szCs w:val="44"/>
                <w:lang w:eastAsia="pl-PL"/>
              </w:rPr>
              <w:drawing>
                <wp:inline distT="0" distB="0" distL="0" distR="0">
                  <wp:extent cx="2194560" cy="185166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4560" cy="1851660"/>
                          </a:xfrm>
                          <a:prstGeom prst="rect">
                            <a:avLst/>
                          </a:prstGeom>
                          <a:solidFill>
                            <a:srgbClr val="FFFFFF"/>
                          </a:solidFill>
                          <a:ln>
                            <a:noFill/>
                          </a:ln>
                        </pic:spPr>
                      </pic:pic>
                    </a:graphicData>
                  </a:graphic>
                </wp:inline>
              </w:drawing>
            </w:r>
          </w:p>
        </w:tc>
      </w:tr>
      <w:tr w:rsidR="0033272C" w:rsidTr="00BA1421">
        <w:trPr>
          <w:trHeight w:val="365"/>
        </w:trPr>
        <w:tc>
          <w:tcPr>
            <w:tcW w:w="9333" w:type="dxa"/>
            <w:shd w:val="clear" w:color="auto" w:fill="auto"/>
            <w:vAlign w:val="center"/>
          </w:tcPr>
          <w:p w:rsidR="0033272C" w:rsidRDefault="0033272C" w:rsidP="00BA1421">
            <w:pPr>
              <w:snapToGrid w:val="0"/>
              <w:spacing w:after="200" w:line="276" w:lineRule="auto"/>
              <w:rPr>
                <w:rFonts w:ascii="Times New Roman" w:hAnsi="Times New Roman"/>
                <w:sz w:val="44"/>
                <w:szCs w:val="44"/>
              </w:rPr>
            </w:pPr>
          </w:p>
        </w:tc>
      </w:tr>
      <w:tr w:rsidR="0033272C" w:rsidTr="00BA1421">
        <w:trPr>
          <w:trHeight w:val="365"/>
        </w:trPr>
        <w:tc>
          <w:tcPr>
            <w:tcW w:w="9333" w:type="dxa"/>
            <w:shd w:val="clear" w:color="auto" w:fill="auto"/>
            <w:vAlign w:val="center"/>
          </w:tcPr>
          <w:p w:rsidR="0033272C" w:rsidRPr="00736D17" w:rsidRDefault="0033272C" w:rsidP="00BA1421">
            <w:pPr>
              <w:spacing w:after="200" w:line="276" w:lineRule="auto"/>
              <w:jc w:val="center"/>
              <w:rPr>
                <w:b/>
                <w:bCs/>
                <w:sz w:val="28"/>
                <w:szCs w:val="28"/>
              </w:rPr>
            </w:pPr>
            <w:r w:rsidRPr="00736D17">
              <w:rPr>
                <w:rFonts w:ascii="Times New Roman" w:hAnsi="Times New Roman"/>
                <w:b/>
                <w:bCs/>
                <w:sz w:val="28"/>
                <w:szCs w:val="28"/>
              </w:rPr>
              <w:t xml:space="preserve">Elżbieta </w:t>
            </w:r>
            <w:proofErr w:type="spellStart"/>
            <w:r w:rsidRPr="00736D17">
              <w:rPr>
                <w:rFonts w:ascii="Times New Roman" w:hAnsi="Times New Roman"/>
                <w:b/>
                <w:bCs/>
                <w:sz w:val="28"/>
                <w:szCs w:val="28"/>
              </w:rPr>
              <w:t>Zasimowicz</w:t>
            </w:r>
            <w:proofErr w:type="spellEnd"/>
            <w:r w:rsidRPr="00736D17">
              <w:rPr>
                <w:rFonts w:ascii="Times New Roman" w:hAnsi="Times New Roman"/>
                <w:b/>
                <w:bCs/>
                <w:sz w:val="28"/>
                <w:szCs w:val="28"/>
              </w:rPr>
              <w:t xml:space="preserve"> - Majewska</w:t>
            </w:r>
          </w:p>
          <w:p w:rsidR="0033272C" w:rsidRDefault="0033272C" w:rsidP="00BA1421">
            <w:pPr>
              <w:spacing w:after="200" w:line="276" w:lineRule="auto"/>
              <w:rPr>
                <w:b/>
                <w:bCs/>
              </w:rPr>
            </w:pPr>
          </w:p>
          <w:p w:rsidR="0033272C" w:rsidRDefault="0033272C" w:rsidP="00BA1421">
            <w:pPr>
              <w:spacing w:line="360" w:lineRule="auto"/>
              <w:jc w:val="center"/>
              <w:rPr>
                <w:rFonts w:ascii="Times New Roman" w:hAnsi="Times New Roman"/>
                <w:b/>
                <w:bCs/>
                <w:sz w:val="28"/>
                <w:szCs w:val="28"/>
              </w:rPr>
            </w:pPr>
            <w:r w:rsidRPr="00736D17">
              <w:rPr>
                <w:rFonts w:ascii="Times New Roman" w:hAnsi="Times New Roman"/>
                <w:b/>
                <w:bCs/>
                <w:sz w:val="28"/>
                <w:szCs w:val="28"/>
              </w:rPr>
              <w:t>AKTYWNOŚĆ I</w:t>
            </w:r>
            <w:r>
              <w:rPr>
                <w:rFonts w:ascii="Times New Roman" w:hAnsi="Times New Roman"/>
                <w:b/>
                <w:bCs/>
                <w:sz w:val="28"/>
                <w:szCs w:val="28"/>
              </w:rPr>
              <w:t xml:space="preserve"> </w:t>
            </w:r>
            <w:r w:rsidRPr="00736D17">
              <w:rPr>
                <w:rFonts w:ascii="Times New Roman" w:hAnsi="Times New Roman"/>
                <w:b/>
                <w:bCs/>
                <w:sz w:val="28"/>
                <w:szCs w:val="28"/>
              </w:rPr>
              <w:t xml:space="preserve">ZNACZENIE DIAGNOSTYCZNE DEHYDROGENAZY </w:t>
            </w:r>
            <w:r w:rsidRPr="00736D17">
              <w:rPr>
                <w:rFonts w:ascii="Times New Roman" w:hAnsi="Times New Roman"/>
                <w:b/>
                <w:bCs/>
                <w:sz w:val="28"/>
                <w:szCs w:val="28"/>
              </w:rPr>
              <w:br/>
              <w:t>ALKOHOLOWEJ I DEHYD</w:t>
            </w:r>
            <w:r>
              <w:rPr>
                <w:rFonts w:ascii="Times New Roman" w:hAnsi="Times New Roman"/>
                <w:b/>
                <w:bCs/>
                <w:sz w:val="28"/>
                <w:szCs w:val="28"/>
              </w:rPr>
              <w:t xml:space="preserve">ROGENAZY ALDEHYDOWEJ   </w:t>
            </w:r>
          </w:p>
          <w:p w:rsidR="0033272C" w:rsidRPr="00736D17" w:rsidRDefault="0033272C" w:rsidP="00BA1421">
            <w:pPr>
              <w:spacing w:line="360" w:lineRule="auto"/>
              <w:jc w:val="center"/>
              <w:rPr>
                <w:b/>
                <w:bCs/>
                <w:sz w:val="28"/>
                <w:szCs w:val="28"/>
              </w:rPr>
            </w:pPr>
            <w:r>
              <w:rPr>
                <w:rFonts w:ascii="Times New Roman" w:hAnsi="Times New Roman"/>
                <w:b/>
                <w:bCs/>
                <w:sz w:val="28"/>
                <w:szCs w:val="28"/>
              </w:rPr>
              <w:t>W SUROWICY</w:t>
            </w:r>
            <w:r w:rsidRPr="00736D17">
              <w:rPr>
                <w:rFonts w:ascii="Times New Roman" w:hAnsi="Times New Roman"/>
                <w:b/>
                <w:bCs/>
                <w:sz w:val="28"/>
                <w:szCs w:val="28"/>
              </w:rPr>
              <w:t xml:space="preserve"> PACJENTÓW </w:t>
            </w:r>
            <w:r w:rsidRPr="00736D17">
              <w:rPr>
                <w:rFonts w:ascii="Times New Roman" w:hAnsi="Times New Roman"/>
                <w:b/>
                <w:bCs/>
                <w:sz w:val="28"/>
                <w:szCs w:val="28"/>
              </w:rPr>
              <w:br/>
              <w:t>Z AUTOIMMUNIZACYJNĄ CHOROBĄ WĄTROBY</w:t>
            </w:r>
          </w:p>
          <w:p w:rsidR="0033272C" w:rsidRDefault="0033272C" w:rsidP="00BA1421">
            <w:pPr>
              <w:spacing w:after="200" w:line="276" w:lineRule="auto"/>
              <w:jc w:val="center"/>
              <w:rPr>
                <w:rFonts w:ascii="Times New Roman" w:hAnsi="Times New Roman"/>
                <w:b/>
                <w:bCs/>
                <w:sz w:val="24"/>
                <w:szCs w:val="24"/>
              </w:rPr>
            </w:pPr>
          </w:p>
          <w:p w:rsidR="0033272C" w:rsidRDefault="0033272C" w:rsidP="00BA1421">
            <w:pPr>
              <w:spacing w:after="200" w:line="276" w:lineRule="auto"/>
              <w:jc w:val="center"/>
              <w:rPr>
                <w:rFonts w:ascii="Times New Roman" w:hAnsi="Times New Roman"/>
                <w:b/>
                <w:sz w:val="24"/>
                <w:szCs w:val="24"/>
              </w:rPr>
            </w:pPr>
            <w:r>
              <w:rPr>
                <w:rFonts w:ascii="Times New Roman" w:hAnsi="Times New Roman"/>
                <w:b/>
                <w:bCs/>
                <w:sz w:val="24"/>
                <w:szCs w:val="24"/>
              </w:rPr>
              <w:t>Rozprawa doktorska</w:t>
            </w:r>
          </w:p>
          <w:p w:rsidR="0033272C" w:rsidRDefault="0033272C" w:rsidP="00BA1421">
            <w:pPr>
              <w:spacing w:after="200" w:line="276" w:lineRule="auto"/>
              <w:jc w:val="center"/>
              <w:rPr>
                <w:rFonts w:ascii="Times New Roman" w:hAnsi="Times New Roman"/>
                <w:sz w:val="24"/>
                <w:szCs w:val="24"/>
                <w:lang w:val="x-none"/>
              </w:rPr>
            </w:pPr>
            <w:r w:rsidRPr="004B7129">
              <w:rPr>
                <w:rFonts w:ascii="Times New Roman" w:hAnsi="Times New Roman"/>
                <w:b/>
                <w:sz w:val="24"/>
                <w:szCs w:val="24"/>
              </w:rPr>
              <w:t xml:space="preserve">Promotor: dr hab. n. med. </w:t>
            </w:r>
            <w:r>
              <w:rPr>
                <w:rFonts w:ascii="Times New Roman" w:hAnsi="Times New Roman"/>
                <w:b/>
                <w:sz w:val="24"/>
                <w:szCs w:val="24"/>
                <w:lang w:val="x-none"/>
              </w:rPr>
              <w:t xml:space="preserve">Wojciech </w:t>
            </w:r>
            <w:proofErr w:type="spellStart"/>
            <w:r>
              <w:rPr>
                <w:rFonts w:ascii="Times New Roman" w:hAnsi="Times New Roman"/>
                <w:b/>
                <w:sz w:val="24"/>
                <w:szCs w:val="24"/>
                <w:lang w:val="x-none"/>
              </w:rPr>
              <w:t>Jelski</w:t>
            </w:r>
            <w:proofErr w:type="spellEnd"/>
          </w:p>
          <w:p w:rsidR="0033272C" w:rsidRDefault="0033272C" w:rsidP="00BA1421">
            <w:pPr>
              <w:spacing w:after="200" w:line="276" w:lineRule="auto"/>
              <w:jc w:val="center"/>
              <w:rPr>
                <w:rFonts w:ascii="Times New Roman" w:hAnsi="Times New Roman"/>
                <w:sz w:val="24"/>
                <w:szCs w:val="24"/>
              </w:rPr>
            </w:pPr>
          </w:p>
          <w:p w:rsidR="0033272C" w:rsidRDefault="0033272C" w:rsidP="00BA1421">
            <w:pPr>
              <w:spacing w:after="200" w:line="276" w:lineRule="auto"/>
              <w:jc w:val="center"/>
              <w:rPr>
                <w:rFonts w:ascii="Times New Roman" w:hAnsi="Times New Roman"/>
                <w:sz w:val="24"/>
                <w:szCs w:val="24"/>
              </w:rPr>
            </w:pPr>
            <w:r>
              <w:rPr>
                <w:rFonts w:ascii="Times New Roman" w:hAnsi="Times New Roman"/>
                <w:sz w:val="24"/>
                <w:szCs w:val="24"/>
                <w:lang w:val="x-none"/>
              </w:rPr>
              <w:t>Zakład Diagnostyki Biochemicznej</w:t>
            </w:r>
            <w:r>
              <w:rPr>
                <w:noProof/>
                <w:lang w:eastAsia="pl-PL"/>
              </w:rPr>
              <mc:AlternateContent>
                <mc:Choice Requires="wps">
                  <w:drawing>
                    <wp:anchor distT="0" distB="0" distL="118745" distR="118745" simplePos="0" relativeHeight="251658240" behindDoc="0" locked="0" layoutInCell="1" allowOverlap="1">
                      <wp:simplePos x="0" y="0"/>
                      <wp:positionH relativeFrom="margin">
                        <wp:posOffset>24130</wp:posOffset>
                      </wp:positionH>
                      <wp:positionV relativeFrom="margin">
                        <wp:posOffset>3065145</wp:posOffset>
                      </wp:positionV>
                      <wp:extent cx="5711825" cy="174625"/>
                      <wp:effectExtent l="0" t="0" r="0" b="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8996"/>
                                  </w:tblGrid>
                                  <w:tr w:rsidR="0033272C">
                                    <w:trPr>
                                      <w:trHeight w:val="166"/>
                                    </w:trPr>
                                    <w:tc>
                                      <w:tcPr>
                                        <w:tcW w:w="8996" w:type="dxa"/>
                                        <w:shd w:val="clear" w:color="auto" w:fill="auto"/>
                                      </w:tcPr>
                                      <w:p w:rsidR="0033272C" w:rsidRDefault="0033272C">
                                        <w:pPr>
                                          <w:snapToGrid w:val="0"/>
                                          <w:rPr>
                                            <w:rFonts w:ascii="Times New Roman" w:hAnsi="Times New Roman"/>
                                            <w:sz w:val="24"/>
                                            <w:szCs w:val="24"/>
                                          </w:rPr>
                                        </w:pPr>
                                      </w:p>
                                    </w:tc>
                                  </w:tr>
                                </w:tbl>
                                <w:p w:rsidR="0033272C" w:rsidRDefault="0033272C" w:rsidP="0033272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9pt;margin-top:241.35pt;width:449.75pt;height:13.75pt;z-index:251658240;visibility:visible;mso-wrap-style:square;mso-width-percent:0;mso-height-percent:0;mso-wrap-distance-left:9.35pt;mso-wrap-distance-top:0;mso-wrap-distance-right:9.3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" stroked="f">
                      <v:textbox inset="0,0,0,0">
                        <w:txbxContent>
                          <w:tbl>
                            <w:tblPr>
                              <w:tblW w:w="0" w:type="auto"/>
                              <w:tblInd w:w="108" w:type="dxa"/>
                              <w:tblLayout w:type="fixed"/>
                              <w:tblLook w:val="0000" w:firstRow="0" w:lastRow="0" w:firstColumn="0" w:lastColumn="0" w:noHBand="0" w:noVBand="0"/>
                            </w:tblPr>
                            <w:tblGrid>
                              <w:gridCol w:w="8996"/>
                            </w:tblGrid>
                            <w:tr w:rsidR="0033272C">
                              <w:trPr>
                                <w:trHeight w:val="166"/>
                              </w:trPr>
                              <w:tc>
                                <w:tcPr>
                                  <w:tcW w:w="8996" w:type="dxa"/>
                                  <w:shd w:val="clear" w:color="auto" w:fill="auto"/>
                                </w:tcPr>
                                <w:p w:rsidR="0033272C" w:rsidRDefault="0033272C">
                                  <w:pPr>
                                    <w:snapToGrid w:val="0"/>
                                    <w:rPr>
                                      <w:rFonts w:ascii="Times New Roman" w:hAnsi="Times New Roman"/>
                                      <w:sz w:val="24"/>
                                      <w:szCs w:val="24"/>
                                    </w:rPr>
                                  </w:pPr>
                                </w:p>
                              </w:tc>
                            </w:tr>
                          </w:tbl>
                          <w:p w:rsidR="0033272C" w:rsidRDefault="0033272C" w:rsidP="0033272C">
                            <w:r>
                              <w:t xml:space="preserve"> </w:t>
                            </w:r>
                          </w:p>
                        </w:txbxContent>
                      </v:textbox>
                      <w10:wrap type="square" anchorx="margin" anchory="margin"/>
                    </v:shape>
                  </w:pict>
                </mc:Fallback>
              </mc:AlternateContent>
            </w:r>
          </w:p>
          <w:p w:rsidR="0033272C" w:rsidRDefault="0033272C" w:rsidP="00BA1421">
            <w:pPr>
              <w:spacing w:after="200" w:line="276" w:lineRule="auto"/>
              <w:jc w:val="center"/>
              <w:rPr>
                <w:rFonts w:ascii="Times New Roman" w:hAnsi="Times New Roman"/>
                <w:b/>
                <w:sz w:val="24"/>
                <w:szCs w:val="24"/>
              </w:rPr>
            </w:pPr>
            <w:r>
              <w:rPr>
                <w:rFonts w:ascii="Times New Roman" w:hAnsi="Times New Roman"/>
                <w:b/>
                <w:sz w:val="24"/>
                <w:szCs w:val="24"/>
                <w:lang w:val="x-none"/>
              </w:rPr>
              <w:t xml:space="preserve">Kierownik: Prof. dr hab. n. med. Maciej </w:t>
            </w:r>
            <w:proofErr w:type="spellStart"/>
            <w:r>
              <w:rPr>
                <w:rFonts w:ascii="Times New Roman" w:hAnsi="Times New Roman"/>
                <w:b/>
                <w:sz w:val="24"/>
                <w:szCs w:val="24"/>
                <w:lang w:val="x-none"/>
              </w:rPr>
              <w:t>Szm</w:t>
            </w:r>
            <w:r>
              <w:rPr>
                <w:rFonts w:ascii="Times New Roman" w:hAnsi="Times New Roman"/>
                <w:b/>
                <w:sz w:val="24"/>
                <w:szCs w:val="24"/>
              </w:rPr>
              <w:t>i</w:t>
            </w:r>
            <w:r>
              <w:rPr>
                <w:rFonts w:ascii="Times New Roman" w:hAnsi="Times New Roman"/>
                <w:b/>
                <w:sz w:val="24"/>
                <w:szCs w:val="24"/>
                <w:lang w:val="x-none"/>
              </w:rPr>
              <w:t>tkowski</w:t>
            </w:r>
            <w:proofErr w:type="spellEnd"/>
          </w:p>
          <w:p w:rsidR="0033272C" w:rsidRDefault="0033272C" w:rsidP="00BA1421">
            <w:pPr>
              <w:spacing w:after="200" w:line="276" w:lineRule="auto"/>
              <w:jc w:val="center"/>
              <w:rPr>
                <w:rFonts w:ascii="Times New Roman" w:hAnsi="Times New Roman"/>
                <w:b/>
                <w:sz w:val="24"/>
                <w:szCs w:val="24"/>
              </w:rPr>
            </w:pPr>
          </w:p>
          <w:p w:rsidR="0033272C" w:rsidRDefault="0033272C" w:rsidP="00BA1421">
            <w:pPr>
              <w:spacing w:after="200" w:line="276" w:lineRule="auto"/>
              <w:jc w:val="center"/>
            </w:pPr>
            <w:r>
              <w:rPr>
                <w:rFonts w:ascii="Times New Roman" w:hAnsi="Times New Roman"/>
                <w:sz w:val="24"/>
                <w:szCs w:val="24"/>
              </w:rPr>
              <w:t>Białystok 2016</w:t>
            </w:r>
          </w:p>
        </w:tc>
      </w:tr>
    </w:tbl>
    <w:p w:rsidR="0033272C" w:rsidRDefault="0033272C" w:rsidP="0033272C"/>
    <w:p w:rsidR="0033272C" w:rsidRPr="0033272C" w:rsidRDefault="0033272C" w:rsidP="0033272C">
      <w:pPr>
        <w:pStyle w:val="Nagwek1"/>
      </w:pPr>
      <w:r>
        <w:t>Streszczenie</w:t>
      </w:r>
      <w:bookmarkEnd w:id="0"/>
    </w:p>
    <w:p w:rsidR="0033272C" w:rsidRDefault="0033272C" w:rsidP="0033272C">
      <w:pPr>
        <w:spacing w:line="360" w:lineRule="auto"/>
        <w:ind w:right="-1" w:firstLine="709"/>
        <w:jc w:val="both"/>
        <w:rPr>
          <w:rFonts w:ascii="Times New Roman" w:hAnsi="Times New Roman"/>
          <w:sz w:val="24"/>
          <w:szCs w:val="24"/>
        </w:rPr>
      </w:pPr>
      <w:r>
        <w:rPr>
          <w:rFonts w:ascii="Times New Roman" w:eastAsia="ArialMT" w:hAnsi="Times New Roman"/>
          <w:sz w:val="24"/>
          <w:szCs w:val="24"/>
        </w:rPr>
        <w:t xml:space="preserve">Choroby autoimmunizacyjne wątroby należą do grupy rzadkich schorzeń, których patogeneza oparta jest o proces autoimmunizacji. Na podstawie występowania </w:t>
      </w:r>
      <w:r>
        <w:rPr>
          <w:rFonts w:ascii="Times New Roman" w:eastAsia="ArialMT" w:hAnsi="Times New Roman"/>
          <w:sz w:val="24"/>
          <w:szCs w:val="24"/>
        </w:rPr>
        <w:br/>
        <w:t xml:space="preserve">autoprzeciwciał schorzenia autoimmunizacyjne wątroby można podzielić na trzy rodzaje: autoimmunologiczne zapalenie wątroby (AIH), pierwotną żółciową marskość (PBC), pierwotne </w:t>
      </w:r>
      <w:proofErr w:type="spellStart"/>
      <w:r>
        <w:rPr>
          <w:rFonts w:ascii="Times New Roman" w:eastAsia="ArialMT" w:hAnsi="Times New Roman"/>
          <w:sz w:val="24"/>
          <w:szCs w:val="24"/>
        </w:rPr>
        <w:t>stwardniejące</w:t>
      </w:r>
      <w:proofErr w:type="spellEnd"/>
      <w:r>
        <w:rPr>
          <w:rFonts w:ascii="Times New Roman" w:eastAsia="ArialMT" w:hAnsi="Times New Roman"/>
          <w:sz w:val="24"/>
          <w:szCs w:val="24"/>
        </w:rPr>
        <w:t xml:space="preserve"> zapalenie dróg żółciowych (PSC).</w:t>
      </w:r>
    </w:p>
    <w:p w:rsidR="0033272C" w:rsidRDefault="0033272C" w:rsidP="0033272C">
      <w:pPr>
        <w:spacing w:line="360" w:lineRule="auto"/>
        <w:ind w:firstLine="709"/>
        <w:jc w:val="both"/>
        <w:rPr>
          <w:rFonts w:ascii="Times New Roman" w:hAnsi="Times New Roman"/>
          <w:color w:val="000000"/>
          <w:sz w:val="24"/>
          <w:szCs w:val="24"/>
        </w:rPr>
      </w:pPr>
      <w:r>
        <w:rPr>
          <w:rFonts w:ascii="Times New Roman" w:hAnsi="Times New Roman"/>
          <w:sz w:val="24"/>
          <w:szCs w:val="24"/>
        </w:rPr>
        <w:t xml:space="preserve">Wątroba stanowi główny narząd w którym, zachodzi metabolizm etanolu </w:t>
      </w:r>
      <w:r>
        <w:rPr>
          <w:rFonts w:ascii="Times New Roman" w:hAnsi="Times New Roman"/>
          <w:sz w:val="24"/>
          <w:szCs w:val="24"/>
        </w:rPr>
        <w:br/>
        <w:t xml:space="preserve">z udziałem trzech układów enzymatycznych: układu dehydrogenazy alkoholowej </w:t>
      </w:r>
      <w:proofErr w:type="spellStart"/>
      <w:r>
        <w:rPr>
          <w:rFonts w:ascii="Times New Roman" w:hAnsi="Times New Roman"/>
          <w:sz w:val="24"/>
          <w:szCs w:val="24"/>
        </w:rPr>
        <w:t>mikrosomalnego</w:t>
      </w:r>
      <w:proofErr w:type="spellEnd"/>
      <w:r>
        <w:rPr>
          <w:rFonts w:ascii="Times New Roman" w:hAnsi="Times New Roman"/>
          <w:sz w:val="24"/>
          <w:szCs w:val="24"/>
        </w:rPr>
        <w:t xml:space="preserve"> układu utleniania etanolu związanego z cytochromem P-450 </w:t>
      </w:r>
      <w:r>
        <w:rPr>
          <w:rFonts w:ascii="Times New Roman" w:hAnsi="Times New Roman"/>
          <w:sz w:val="24"/>
          <w:szCs w:val="24"/>
        </w:rPr>
        <w:br/>
        <w:t xml:space="preserve">i układu katalazy. Alkohol etylowy metabolizowany jest przede wszystkim na drodze oksydacyjnej przez obecne w wątrobie enzymy: dehydrogenazę alkoholową oraz dehydrogenazę aldehydową. Destrukcja </w:t>
      </w:r>
      <w:proofErr w:type="spellStart"/>
      <w:r>
        <w:rPr>
          <w:rFonts w:ascii="Times New Roman" w:hAnsi="Times New Roman"/>
          <w:sz w:val="24"/>
          <w:szCs w:val="24"/>
        </w:rPr>
        <w:t>hepatocytów</w:t>
      </w:r>
      <w:proofErr w:type="spellEnd"/>
      <w:r>
        <w:rPr>
          <w:rFonts w:ascii="Times New Roman" w:hAnsi="Times New Roman"/>
          <w:sz w:val="24"/>
          <w:szCs w:val="24"/>
        </w:rPr>
        <w:t xml:space="preserve"> będąca wynikiem autoimmunizacji może mieć swoje odbicie w aktywności tych enzymów i wyzwalać ich patologiczne uwalnianie do krwi ze zniszczonych chorobowo komórek wątroby.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Celem przedstawionej pracy było określenie aktywności i </w:t>
      </w:r>
      <w:proofErr w:type="spellStart"/>
      <w:r>
        <w:rPr>
          <w:rFonts w:ascii="Times New Roman" w:hAnsi="Times New Roman"/>
          <w:sz w:val="24"/>
          <w:szCs w:val="24"/>
        </w:rPr>
        <w:t>izoenzymatycznego</w:t>
      </w:r>
      <w:proofErr w:type="spellEnd"/>
      <w:r>
        <w:rPr>
          <w:rFonts w:ascii="Times New Roman" w:hAnsi="Times New Roman"/>
          <w:sz w:val="24"/>
          <w:szCs w:val="24"/>
        </w:rPr>
        <w:t xml:space="preserve"> profilu ADH i aktywności ALDH w surowicy pacjentów z chorobą autoimmunizacyjną wątroby oraz ocena przydatności diagnostycznej badanych izoenzymów w rozpoznawaniu autoimmunizacyjnej choroby wątroby.</w:t>
      </w:r>
    </w:p>
    <w:p w:rsidR="0033272C" w:rsidRDefault="0033272C" w:rsidP="0033272C">
      <w:pPr>
        <w:pStyle w:val="Tekstpodstawowy"/>
        <w:spacing w:line="360" w:lineRule="auto"/>
        <w:ind w:firstLine="708"/>
        <w:jc w:val="both"/>
        <w:rPr>
          <w:rFonts w:ascii="Times New Roman" w:hAnsi="Times New Roman"/>
          <w:sz w:val="24"/>
          <w:lang w:eastAsia="pl-PL"/>
        </w:rPr>
      </w:pPr>
      <w:r>
        <w:rPr>
          <w:rFonts w:ascii="Times New Roman" w:hAnsi="Times New Roman"/>
          <w:color w:val="000000"/>
          <w:sz w:val="24"/>
        </w:rPr>
        <w:t xml:space="preserve">Badania obejmowały łącznie 65 pacjentów, 38 mężczyzn i 27 kobiet, u których rozpoznano autoimmunizacyjne choroby wątroby. Grupa kontrolna składała się z </w:t>
      </w:r>
      <w:r>
        <w:rPr>
          <w:rFonts w:ascii="Times New Roman" w:hAnsi="Times New Roman"/>
          <w:color w:val="000000"/>
          <w:sz w:val="24"/>
        </w:rPr>
        <w:br/>
        <w:t xml:space="preserve">60 osób zdrowych. </w:t>
      </w:r>
      <w:r>
        <w:rPr>
          <w:rFonts w:ascii="Times New Roman" w:hAnsi="Times New Roman"/>
          <w:sz w:val="24"/>
        </w:rPr>
        <w:t xml:space="preserve">Do wykonania oznaczeń aktywności izoenzymów dehydrogenazy alkoholowej klasy I </w:t>
      </w:r>
      <w:proofErr w:type="spellStart"/>
      <w:r>
        <w:rPr>
          <w:rFonts w:ascii="Times New Roman" w:hAnsi="Times New Roman"/>
          <w:sz w:val="24"/>
        </w:rPr>
        <w:t>i</w:t>
      </w:r>
      <w:proofErr w:type="spellEnd"/>
      <w:r>
        <w:rPr>
          <w:rFonts w:ascii="Times New Roman" w:hAnsi="Times New Roman"/>
          <w:sz w:val="24"/>
        </w:rPr>
        <w:t xml:space="preserve"> II oraz aktywności całkowitej ALDH zastosowano metodę </w:t>
      </w:r>
      <w:proofErr w:type="spellStart"/>
      <w:r>
        <w:rPr>
          <w:rFonts w:ascii="Times New Roman" w:hAnsi="Times New Roman"/>
          <w:sz w:val="24"/>
        </w:rPr>
        <w:t>spektrofluorymetryczną</w:t>
      </w:r>
      <w:proofErr w:type="spellEnd"/>
      <w:r>
        <w:rPr>
          <w:rFonts w:ascii="Times New Roman" w:hAnsi="Times New Roman"/>
          <w:sz w:val="24"/>
        </w:rPr>
        <w:t xml:space="preserve">. Specyficznymi </w:t>
      </w:r>
      <w:proofErr w:type="spellStart"/>
      <w:r>
        <w:rPr>
          <w:rFonts w:ascii="Times New Roman" w:hAnsi="Times New Roman"/>
          <w:sz w:val="24"/>
        </w:rPr>
        <w:t>fluorogennymi</w:t>
      </w:r>
      <w:proofErr w:type="spellEnd"/>
      <w:r>
        <w:rPr>
          <w:rFonts w:ascii="Times New Roman" w:hAnsi="Times New Roman"/>
          <w:sz w:val="24"/>
        </w:rPr>
        <w:t>  substratami  były  4-metoksy-</w:t>
      </w:r>
      <w:r>
        <w:rPr>
          <w:rFonts w:ascii="Times New Roman" w:hAnsi="Times New Roman"/>
          <w:sz w:val="24"/>
        </w:rPr>
        <w:br/>
        <w:t xml:space="preserve">-1-naftaldehyd  dla  ADH  I </w:t>
      </w:r>
      <w:proofErr w:type="spellStart"/>
      <w:r>
        <w:rPr>
          <w:rFonts w:ascii="Times New Roman" w:hAnsi="Times New Roman"/>
          <w:sz w:val="24"/>
        </w:rPr>
        <w:t>i</w:t>
      </w:r>
      <w:proofErr w:type="spellEnd"/>
      <w:r>
        <w:rPr>
          <w:rFonts w:ascii="Times New Roman" w:hAnsi="Times New Roman"/>
          <w:sz w:val="24"/>
        </w:rPr>
        <w:t xml:space="preserve"> 6-metoksy-2-naftaladehyd dla klasy ADH II oraz ALDH. </w:t>
      </w:r>
      <w:r>
        <w:rPr>
          <w:rFonts w:ascii="Times New Roman" w:hAnsi="Times New Roman"/>
          <w:sz w:val="24"/>
          <w:lang w:eastAsia="pl-PL"/>
        </w:rPr>
        <w:t xml:space="preserve">Aktywność ADH </w:t>
      </w:r>
      <w:proofErr w:type="spellStart"/>
      <w:r>
        <w:rPr>
          <w:rFonts w:ascii="Times New Roman" w:hAnsi="Times New Roman"/>
          <w:sz w:val="24"/>
          <w:lang w:eastAsia="pl-PL"/>
        </w:rPr>
        <w:t>total</w:t>
      </w:r>
      <w:proofErr w:type="spellEnd"/>
      <w:r>
        <w:rPr>
          <w:rFonts w:ascii="Times New Roman" w:hAnsi="Times New Roman"/>
          <w:sz w:val="24"/>
          <w:lang w:eastAsia="pl-PL"/>
        </w:rPr>
        <w:t xml:space="preserve"> oraz aktywność izoenzymów klasy III i</w:t>
      </w:r>
      <w:r>
        <w:rPr>
          <w:rFonts w:ascii="Times New Roman" w:hAnsi="Times New Roman"/>
          <w:noProof/>
          <w:sz w:val="24"/>
          <w:lang w:eastAsia="pl-PL"/>
        </w:rPr>
        <w:t xml:space="preserve"> IV </w:t>
      </w:r>
      <w:r>
        <w:rPr>
          <w:rFonts w:ascii="Times New Roman" w:hAnsi="Times New Roman"/>
          <w:sz w:val="24"/>
          <w:lang w:eastAsia="pl-PL"/>
        </w:rPr>
        <w:t xml:space="preserve">mierzono przy użyciu metody spektrofotometrycznej. </w:t>
      </w:r>
    </w:p>
    <w:p w:rsidR="0033272C" w:rsidRDefault="0033272C" w:rsidP="0033272C">
      <w:pPr>
        <w:spacing w:after="200" w:line="360" w:lineRule="auto"/>
        <w:jc w:val="both"/>
        <w:rPr>
          <w:rFonts w:ascii="Times New Roman" w:hAnsi="Times New Roman"/>
          <w:sz w:val="24"/>
          <w:szCs w:val="24"/>
        </w:rPr>
      </w:pPr>
      <w:r>
        <w:rPr>
          <w:rFonts w:ascii="Times New Roman" w:hAnsi="Times New Roman"/>
          <w:sz w:val="24"/>
          <w:szCs w:val="24"/>
        </w:rPr>
        <w:tab/>
        <w:t xml:space="preserve">Stwierdzono wyższą aktywność całkowitą ADH i aktywność jej izoenzymu ADH I w surowicy krwi pacjentów z autoimmunizacyjną chorobą wątroby co jest wynikiem uwalniania tego enzymu ze zniszczonych na drodze procesu immunologicznego komórek wątroby. Natomiast nie wykazano istotnych statystycznie różnic aktywności ADH </w:t>
      </w:r>
      <w:r>
        <w:rPr>
          <w:rFonts w:ascii="Times New Roman" w:hAnsi="Times New Roman"/>
          <w:sz w:val="24"/>
          <w:szCs w:val="24"/>
        </w:rPr>
        <w:br/>
        <w:t xml:space="preserve">i jej izoenzymów oraz ALDH w surowicy chorych z poszczególnymi chorobami autoimmunizacyjnymi wątroby, co świadczy o braku zależności stopnia uszkodzenia </w:t>
      </w:r>
      <w:proofErr w:type="spellStart"/>
      <w:r>
        <w:rPr>
          <w:rFonts w:ascii="Times New Roman" w:hAnsi="Times New Roman"/>
          <w:sz w:val="24"/>
          <w:szCs w:val="24"/>
        </w:rPr>
        <w:lastRenderedPageBreak/>
        <w:t>hepatocytów</w:t>
      </w:r>
      <w:proofErr w:type="spellEnd"/>
      <w:r>
        <w:rPr>
          <w:rFonts w:ascii="Times New Roman" w:hAnsi="Times New Roman"/>
          <w:sz w:val="24"/>
          <w:szCs w:val="24"/>
        </w:rPr>
        <w:t xml:space="preserve"> od rodzaju choroby. Ponadto stwierdzono, iż najwyższą przydatność diagnostyczna w poszczególnych analizowanych chorobach autoimmunizacyjnych ma izoenzym ADH klasy I, co może wskazywać na możliwość jego wykorzystania do diagnostyki autoimmunizacyjnych chorób wątroby. </w:t>
      </w: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rFonts w:ascii="Times New Roman" w:hAnsi="Times New Roman"/>
          <w:color w:val="FF0000"/>
          <w:sz w:val="24"/>
          <w:szCs w:val="24"/>
        </w:rPr>
      </w:pPr>
    </w:p>
    <w:p w:rsidR="0033272C" w:rsidRDefault="0033272C" w:rsidP="0033272C">
      <w:pPr>
        <w:spacing w:after="200" w:line="360" w:lineRule="auto"/>
        <w:jc w:val="both"/>
        <w:rPr>
          <w:color w:val="FF0000"/>
        </w:rPr>
      </w:pPr>
    </w:p>
    <w:p w:rsidR="0033272C" w:rsidRDefault="0033272C" w:rsidP="0033272C">
      <w:pPr>
        <w:spacing w:after="200" w:line="360" w:lineRule="auto"/>
        <w:jc w:val="both"/>
        <w:rPr>
          <w:color w:val="FF0000"/>
        </w:rPr>
      </w:pPr>
    </w:p>
    <w:p w:rsidR="0033272C" w:rsidRDefault="0033272C" w:rsidP="0033272C">
      <w:pPr>
        <w:pStyle w:val="Nagwek2"/>
      </w:pPr>
      <w:bookmarkStart w:id="1" w:name="_Toc444371944"/>
      <w:proofErr w:type="spellStart"/>
      <w:r>
        <w:t>Summary</w:t>
      </w:r>
      <w:bookmarkEnd w:id="1"/>
      <w:proofErr w:type="spellEnd"/>
    </w:p>
    <w:p w:rsidR="0033272C" w:rsidRDefault="0033272C" w:rsidP="0033272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 xml:space="preserve">Autoimmune diseases of the liver are seldom found and their pathogenesis </w:t>
      </w:r>
      <w:r>
        <w:rPr>
          <w:rFonts w:ascii="Times New Roman" w:hAnsi="Times New Roman"/>
          <w:sz w:val="24"/>
          <w:szCs w:val="24"/>
          <w:lang w:val="en-US"/>
        </w:rPr>
        <w:br/>
        <w:t xml:space="preserve">is based on the autoimmunity process. According to the occurrence of autoantibodies liver autoimmune diseases are divided into three kinds: autoimmune hepatitis (AIH), primary biliary cirrhosis (PBC), primary </w:t>
      </w:r>
      <w:proofErr w:type="spellStart"/>
      <w:r>
        <w:rPr>
          <w:rFonts w:ascii="Times New Roman" w:hAnsi="Times New Roman"/>
          <w:sz w:val="24"/>
          <w:szCs w:val="24"/>
          <w:lang w:val="en-US"/>
        </w:rPr>
        <w:t>sclerosing</w:t>
      </w:r>
      <w:proofErr w:type="spellEnd"/>
      <w:r>
        <w:rPr>
          <w:rFonts w:ascii="Times New Roman" w:hAnsi="Times New Roman"/>
          <w:sz w:val="24"/>
          <w:szCs w:val="24"/>
          <w:lang w:val="en-US"/>
        </w:rPr>
        <w:t xml:space="preserve"> cholangitis (PSC).</w:t>
      </w:r>
    </w:p>
    <w:p w:rsidR="0033272C" w:rsidRDefault="0033272C" w:rsidP="0033272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Metabolism of ethanol in the liver is associated with three enzyme systems: alcohol dehydrogenase system, the microsomal ethanol oxidative system  combined with cytochrome P-450 and catalase system. Metabolism of ethanol in the liver is an oxidative process influenced by the following enzymes: alcohol dehydrogenase and aldehyde dehydrogenase. The destruction of hepatocytes which is the outcome of autoimmunity can be reflected as the activity of these enzymes released in excessive amounts into the blood from the affected liver cells.</w:t>
      </w:r>
    </w:p>
    <w:p w:rsidR="0033272C" w:rsidRDefault="0033272C" w:rsidP="0033272C">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aim of this study was to determine the activity and </w:t>
      </w:r>
      <w:proofErr w:type="spellStart"/>
      <w:r>
        <w:rPr>
          <w:rFonts w:ascii="Times New Roman" w:hAnsi="Times New Roman"/>
          <w:sz w:val="24"/>
          <w:szCs w:val="24"/>
          <w:lang w:val="en-US"/>
        </w:rPr>
        <w:t>isoenzymatic</w:t>
      </w:r>
      <w:proofErr w:type="spellEnd"/>
      <w:r>
        <w:rPr>
          <w:rFonts w:ascii="Times New Roman" w:hAnsi="Times New Roman"/>
          <w:sz w:val="24"/>
          <w:szCs w:val="24"/>
          <w:lang w:val="en-US"/>
        </w:rPr>
        <w:t xml:space="preserve"> profile </w:t>
      </w:r>
      <w:r>
        <w:rPr>
          <w:rFonts w:ascii="Times New Roman" w:hAnsi="Times New Roman"/>
          <w:sz w:val="24"/>
          <w:szCs w:val="24"/>
          <w:lang w:val="en-US"/>
        </w:rPr>
        <w:br/>
        <w:t xml:space="preserve">of ADH and activity of ALDH in the serum of patients with liver autoimmune disease. and evaluation of the diagnostic utility of the studied isoenzymes in the recognition </w:t>
      </w:r>
      <w:r>
        <w:rPr>
          <w:rFonts w:ascii="Times New Roman" w:hAnsi="Times New Roman"/>
          <w:sz w:val="24"/>
          <w:szCs w:val="24"/>
          <w:lang w:val="en-US"/>
        </w:rPr>
        <w:br/>
        <w:t xml:space="preserve">of this disease. </w:t>
      </w:r>
    </w:p>
    <w:p w:rsidR="0033272C" w:rsidRDefault="0033272C" w:rsidP="0033272C">
      <w:pPr>
        <w:spacing w:line="360" w:lineRule="auto"/>
        <w:ind w:firstLine="708"/>
        <w:jc w:val="both"/>
        <w:rPr>
          <w:rFonts w:ascii="Times New Roman" w:eastAsia="Calibri" w:hAnsi="Times New Roman"/>
          <w:sz w:val="24"/>
          <w:szCs w:val="24"/>
          <w:lang w:val="en-US" w:eastAsia="en-US"/>
        </w:rPr>
      </w:pPr>
      <w:r>
        <w:rPr>
          <w:rFonts w:ascii="Times New Roman" w:hAnsi="Times New Roman"/>
          <w:sz w:val="24"/>
          <w:szCs w:val="24"/>
          <w:lang w:val="en-US"/>
        </w:rPr>
        <w:t xml:space="preserve">The study involved 65 patients, 38 men and 27 women, diagnosed with autoimmune diseases of the liver. The control group included 60 healthy people.  For measurement of the activity of isoenzyme class I and II of alcohol dehydrogenase and total activity of aldehyde dehydrogenase the spectrofluorometric method was used. Specific </w:t>
      </w:r>
      <w:proofErr w:type="spellStart"/>
      <w:r>
        <w:rPr>
          <w:rFonts w:ascii="Times New Roman" w:hAnsi="Times New Roman"/>
          <w:sz w:val="24"/>
          <w:szCs w:val="24"/>
          <w:lang w:val="en-US"/>
        </w:rPr>
        <w:t>fluorogenic</w:t>
      </w:r>
      <w:proofErr w:type="spellEnd"/>
      <w:r>
        <w:rPr>
          <w:rFonts w:ascii="Times New Roman" w:hAnsi="Times New Roman"/>
          <w:sz w:val="24"/>
          <w:szCs w:val="24"/>
          <w:lang w:val="en-US"/>
        </w:rPr>
        <w:t xml:space="preserve"> substrates were 4-methoxy-1-naphthaldehyde for class I and 6-methoxy-2-naphthaldehyde for class II ADH and ALDH. </w:t>
      </w:r>
      <w:r>
        <w:rPr>
          <w:rFonts w:ascii="Times New Roman" w:eastAsia="Calibri" w:hAnsi="Times New Roman"/>
          <w:sz w:val="24"/>
          <w:szCs w:val="24"/>
          <w:lang w:val="en-US" w:eastAsia="en-US"/>
        </w:rPr>
        <w:t>The total activity of ADH and activity of class III and IV were measured by the spectrophotometric methods.</w:t>
      </w:r>
    </w:p>
    <w:p w:rsidR="004F2CFA" w:rsidRPr="0033272C" w:rsidRDefault="0033272C" w:rsidP="0033272C">
      <w:pPr>
        <w:spacing w:line="360" w:lineRule="auto"/>
        <w:ind w:firstLine="709"/>
        <w:jc w:val="both"/>
        <w:rPr>
          <w:rFonts w:ascii="Times New Roman" w:hAnsi="Times New Roman"/>
          <w:sz w:val="24"/>
          <w:szCs w:val="24"/>
          <w:lang w:val="en-US"/>
        </w:rPr>
      </w:pPr>
      <w:r>
        <w:rPr>
          <w:rFonts w:ascii="Times New Roman" w:hAnsi="Times New Roman"/>
          <w:sz w:val="24"/>
          <w:szCs w:val="24"/>
          <w:lang w:val="en-US"/>
        </w:rPr>
        <w:t>It has been found that total activity of ADH and the activity of its isoenzyme ADH I is higher in the serum of patients with autoimmune  diseases of the liver,</w:t>
      </w:r>
      <w:r>
        <w:rPr>
          <w:lang w:val="en-US"/>
        </w:rPr>
        <w:t xml:space="preserve"> </w:t>
      </w:r>
      <w:r>
        <w:rPr>
          <w:rFonts w:ascii="Times New Roman" w:hAnsi="Times New Roman"/>
          <w:sz w:val="24"/>
          <w:szCs w:val="24"/>
          <w:lang w:val="en-US"/>
        </w:rPr>
        <w:t xml:space="preserve">which was due to the release of these enzymes from the hepatocytes damaged by autoimmunity. Significant statistic differences between activity of the tested isoenzymes in the </w:t>
      </w:r>
      <w:proofErr w:type="spellStart"/>
      <w:r>
        <w:rPr>
          <w:rFonts w:ascii="Times New Roman" w:hAnsi="Times New Roman"/>
          <w:sz w:val="24"/>
          <w:szCs w:val="24"/>
          <w:lang w:val="en-US"/>
        </w:rPr>
        <w:t>analysed</w:t>
      </w:r>
      <w:proofErr w:type="spellEnd"/>
      <w:r>
        <w:rPr>
          <w:rFonts w:ascii="Times New Roman" w:hAnsi="Times New Roman"/>
          <w:sz w:val="24"/>
          <w:szCs w:val="24"/>
          <w:lang w:val="en-US"/>
        </w:rPr>
        <w:t xml:space="preserve"> disease entities have not been found, which may indicate lack of relationship with the degree of destruction of hepatocytes in particular diseases. Moreover, ADH I isoenzyme showed the highest diagnostic utility in all the tested disease entities, which suggests a possibility of using this isoenzyme in the diagnosis of liver autoimmune diseases.</w:t>
      </w:r>
      <w:bookmarkStart w:id="2" w:name="_GoBack"/>
      <w:bookmarkEnd w:id="2"/>
    </w:p>
    <w:sectPr w:rsidR="004F2CFA" w:rsidRPr="003327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DC4E5576"/>
    <w:lvl w:ilvl="0">
      <w:start w:val="1"/>
      <w:numFmt w:val="decimal"/>
      <w:pStyle w:val="Nagwek1"/>
      <w:suff w:val="space"/>
      <w:lvlText w:val="%1."/>
      <w:lvlJc w:val="left"/>
      <w:pPr>
        <w:tabs>
          <w:tab w:val="num" w:pos="0"/>
        </w:tabs>
        <w:ind w:left="641" w:hanging="357"/>
      </w:pPr>
      <w:rPr>
        <w:rFonts w:ascii="Times New Roman" w:hAnsi="Times New Roman" w:cs="Times New Roman"/>
        <w:b/>
        <w:bCs w:val="0"/>
        <w:i w:val="0"/>
        <w:iCs w:val="0"/>
        <w:caps w:val="0"/>
        <w:smallCaps w:val="0"/>
        <w:strike w:val="0"/>
        <w:dstrike w:val="0"/>
        <w:outline w:val="0"/>
        <w:shadow w:val="0"/>
        <w:emboss w:val="0"/>
        <w:imprint w:val="0"/>
        <w:vanish w:val="0"/>
        <w:webHidden w:val="0"/>
        <w:spacing w:val="0"/>
        <w:kern w:val="2"/>
        <w:position w:val="0"/>
        <w:sz w:val="32"/>
        <w:szCs w:val="32"/>
        <w:u w:val="none"/>
        <w:effect w:val="none"/>
        <w:vertAlign w:val="baseline"/>
        <w:em w:val="none"/>
        <w:lang w:val="x-none" w:bidi="x-none"/>
        <w:specVanish w:val="0"/>
      </w:rPr>
    </w:lvl>
    <w:lvl w:ilvl="1">
      <w:start w:val="1"/>
      <w:numFmt w:val="decimal"/>
      <w:pStyle w:val="Nagwek2"/>
      <w:suff w:val="space"/>
      <w:lvlText w:val="%1.%2."/>
      <w:lvlJc w:val="left"/>
      <w:pPr>
        <w:tabs>
          <w:tab w:val="num" w:pos="0"/>
        </w:tabs>
        <w:ind w:left="680" w:hanging="680"/>
      </w:pPr>
      <w:rPr>
        <w:rFonts w:ascii="Times New Roman" w:hAnsi="Times New Roman" w:cs="Times New Roman"/>
        <w:b/>
        <w:bCs w:val="0"/>
        <w:i w:val="0"/>
        <w:iCs w:val="0"/>
        <w:caps w:val="0"/>
        <w:smallCaps w:val="0"/>
        <w:strike w:val="0"/>
        <w:dstrike w:val="0"/>
        <w:outline w:val="0"/>
        <w:shadow w:val="0"/>
        <w:emboss w:val="0"/>
        <w:imprint w:val="0"/>
        <w:vanish w:val="0"/>
        <w:webHidden w:val="0"/>
        <w:spacing w:val="0"/>
        <w:kern w:val="2"/>
        <w:position w:val="0"/>
        <w:sz w:val="28"/>
        <w:szCs w:val="28"/>
        <w:u w:val="none"/>
        <w:effect w:val="none"/>
        <w:vertAlign w:val="baseline"/>
        <w:em w:val="none"/>
        <w:lang w:val="x-none" w:bidi="x-none"/>
        <w:specVanish w:val="0"/>
      </w:rPr>
    </w:lvl>
    <w:lvl w:ilvl="2">
      <w:start w:val="1"/>
      <w:numFmt w:val="decimal"/>
      <w:pStyle w:val="Nagwek3"/>
      <w:suff w:val="space"/>
      <w:lvlText w:val="%1.%2.%3."/>
      <w:lvlJc w:val="left"/>
      <w:pPr>
        <w:tabs>
          <w:tab w:val="num" w:pos="426"/>
        </w:tabs>
        <w:ind w:left="1390" w:hanging="96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72C"/>
    <w:rsid w:val="0033272C"/>
    <w:rsid w:val="003355F1"/>
    <w:rsid w:val="0035581F"/>
    <w:rsid w:val="004F2CFA"/>
    <w:rsid w:val="0061014E"/>
    <w:rsid w:val="007A2065"/>
    <w:rsid w:val="008A1571"/>
    <w:rsid w:val="00A810EF"/>
    <w:rsid w:val="00CC3A86"/>
    <w:rsid w:val="00FC4C2F"/>
    <w:rsid w:val="00FE4C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272C"/>
    <w:pPr>
      <w:spacing w:after="0" w:line="240" w:lineRule="auto"/>
    </w:pPr>
    <w:rPr>
      <w:rFonts w:ascii="Calibri" w:eastAsia="Times New Roman" w:hAnsi="Calibri" w:cs="Times New Roman"/>
      <w:lang w:eastAsia="zh-CN"/>
    </w:rPr>
  </w:style>
  <w:style w:type="paragraph" w:styleId="Nagwek1">
    <w:name w:val="heading 1"/>
    <w:basedOn w:val="Normalny"/>
    <w:next w:val="Normalny"/>
    <w:link w:val="Nagwek1Znak"/>
    <w:qFormat/>
    <w:rsid w:val="0033272C"/>
    <w:pPr>
      <w:keepNext/>
      <w:numPr>
        <w:numId w:val="1"/>
      </w:numPr>
      <w:spacing w:before="240" w:after="240" w:line="360" w:lineRule="auto"/>
      <w:jc w:val="both"/>
      <w:outlineLvl w:val="0"/>
    </w:pPr>
    <w:rPr>
      <w:rFonts w:ascii="Times New Roman" w:hAnsi="Times New Roman"/>
      <w:b/>
      <w:caps/>
      <w:sz w:val="32"/>
      <w:szCs w:val="32"/>
    </w:rPr>
  </w:style>
  <w:style w:type="paragraph" w:styleId="Nagwek2">
    <w:name w:val="heading 2"/>
    <w:basedOn w:val="Normalny"/>
    <w:next w:val="Normalny"/>
    <w:link w:val="Nagwek2Znak"/>
    <w:semiHidden/>
    <w:unhideWhenUsed/>
    <w:qFormat/>
    <w:rsid w:val="0033272C"/>
    <w:pPr>
      <w:keepNext/>
      <w:numPr>
        <w:ilvl w:val="1"/>
        <w:numId w:val="1"/>
      </w:numPr>
      <w:spacing w:before="240" w:after="240" w:line="360" w:lineRule="auto"/>
      <w:jc w:val="both"/>
      <w:outlineLvl w:val="1"/>
    </w:pPr>
    <w:rPr>
      <w:rFonts w:ascii="Times New Roman" w:hAnsi="Times New Roman" w:cs="Arial"/>
      <w:b/>
      <w:bCs/>
      <w:iCs/>
      <w:sz w:val="28"/>
      <w:szCs w:val="28"/>
    </w:rPr>
  </w:style>
  <w:style w:type="paragraph" w:styleId="Nagwek3">
    <w:name w:val="heading 3"/>
    <w:basedOn w:val="Nagwek2"/>
    <w:next w:val="Normalny"/>
    <w:link w:val="Nagwek3Znak"/>
    <w:semiHidden/>
    <w:unhideWhenUsed/>
    <w:qFormat/>
    <w:rsid w:val="0033272C"/>
    <w:pPr>
      <w:numPr>
        <w:ilvl w:val="2"/>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272C"/>
    <w:rPr>
      <w:rFonts w:ascii="Times New Roman" w:eastAsia="Times New Roman" w:hAnsi="Times New Roman" w:cs="Times New Roman"/>
      <w:b/>
      <w:caps/>
      <w:sz w:val="32"/>
      <w:szCs w:val="32"/>
      <w:lang w:eastAsia="zh-CN"/>
    </w:rPr>
  </w:style>
  <w:style w:type="character" w:customStyle="1" w:styleId="Nagwek2Znak">
    <w:name w:val="Nagłówek 2 Znak"/>
    <w:basedOn w:val="Domylnaczcionkaakapitu"/>
    <w:link w:val="Nagwek2"/>
    <w:semiHidden/>
    <w:rsid w:val="0033272C"/>
    <w:rPr>
      <w:rFonts w:ascii="Times New Roman" w:eastAsia="Times New Roman" w:hAnsi="Times New Roman" w:cs="Arial"/>
      <w:b/>
      <w:bCs/>
      <w:iCs/>
      <w:sz w:val="28"/>
      <w:szCs w:val="28"/>
      <w:lang w:eastAsia="zh-CN"/>
    </w:rPr>
  </w:style>
  <w:style w:type="character" w:customStyle="1" w:styleId="Nagwek3Znak">
    <w:name w:val="Nagłówek 3 Znak"/>
    <w:basedOn w:val="Domylnaczcionkaakapitu"/>
    <w:link w:val="Nagwek3"/>
    <w:semiHidden/>
    <w:rsid w:val="0033272C"/>
    <w:rPr>
      <w:rFonts w:ascii="Times New Roman" w:eastAsia="Times New Roman" w:hAnsi="Times New Roman" w:cs="Arial"/>
      <w:b/>
      <w:bCs/>
      <w:iCs/>
      <w:sz w:val="28"/>
      <w:szCs w:val="28"/>
      <w:lang w:eastAsia="zh-CN"/>
    </w:rPr>
  </w:style>
  <w:style w:type="paragraph" w:styleId="Tekstpodstawowy">
    <w:name w:val="Body Text"/>
    <w:basedOn w:val="Normalny"/>
    <w:link w:val="TekstpodstawowyZnak"/>
    <w:semiHidden/>
    <w:unhideWhenUsed/>
    <w:rsid w:val="0033272C"/>
    <w:pPr>
      <w:suppressAutoHyphens/>
      <w:spacing w:line="480" w:lineRule="auto"/>
    </w:pPr>
    <w:rPr>
      <w:sz w:val="28"/>
      <w:szCs w:val="24"/>
    </w:rPr>
  </w:style>
  <w:style w:type="character" w:customStyle="1" w:styleId="TekstpodstawowyZnak">
    <w:name w:val="Tekst podstawowy Znak"/>
    <w:basedOn w:val="Domylnaczcionkaakapitu"/>
    <w:link w:val="Tekstpodstawowy"/>
    <w:semiHidden/>
    <w:rsid w:val="0033272C"/>
    <w:rPr>
      <w:rFonts w:ascii="Calibri" w:eastAsia="Times New Roman" w:hAnsi="Calibri" w:cs="Times New Roman"/>
      <w:sz w:val="28"/>
      <w:szCs w:val="24"/>
      <w:lang w:eastAsia="zh-CN"/>
    </w:rPr>
  </w:style>
  <w:style w:type="paragraph" w:styleId="Tekstdymka">
    <w:name w:val="Balloon Text"/>
    <w:basedOn w:val="Normalny"/>
    <w:link w:val="TekstdymkaZnak"/>
    <w:uiPriority w:val="99"/>
    <w:semiHidden/>
    <w:unhideWhenUsed/>
    <w:rsid w:val="0033272C"/>
    <w:rPr>
      <w:rFonts w:ascii="Tahoma" w:hAnsi="Tahoma" w:cs="Tahoma"/>
      <w:sz w:val="16"/>
      <w:szCs w:val="16"/>
    </w:rPr>
  </w:style>
  <w:style w:type="character" w:customStyle="1" w:styleId="TekstdymkaZnak">
    <w:name w:val="Tekst dymka Znak"/>
    <w:basedOn w:val="Domylnaczcionkaakapitu"/>
    <w:link w:val="Tekstdymka"/>
    <w:uiPriority w:val="99"/>
    <w:semiHidden/>
    <w:rsid w:val="0033272C"/>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272C"/>
    <w:pPr>
      <w:spacing w:after="0" w:line="240" w:lineRule="auto"/>
    </w:pPr>
    <w:rPr>
      <w:rFonts w:ascii="Calibri" w:eastAsia="Times New Roman" w:hAnsi="Calibri" w:cs="Times New Roman"/>
      <w:lang w:eastAsia="zh-CN"/>
    </w:rPr>
  </w:style>
  <w:style w:type="paragraph" w:styleId="Nagwek1">
    <w:name w:val="heading 1"/>
    <w:basedOn w:val="Normalny"/>
    <w:next w:val="Normalny"/>
    <w:link w:val="Nagwek1Znak"/>
    <w:qFormat/>
    <w:rsid w:val="0033272C"/>
    <w:pPr>
      <w:keepNext/>
      <w:numPr>
        <w:numId w:val="1"/>
      </w:numPr>
      <w:spacing w:before="240" w:after="240" w:line="360" w:lineRule="auto"/>
      <w:jc w:val="both"/>
      <w:outlineLvl w:val="0"/>
    </w:pPr>
    <w:rPr>
      <w:rFonts w:ascii="Times New Roman" w:hAnsi="Times New Roman"/>
      <w:b/>
      <w:caps/>
      <w:sz w:val="32"/>
      <w:szCs w:val="32"/>
    </w:rPr>
  </w:style>
  <w:style w:type="paragraph" w:styleId="Nagwek2">
    <w:name w:val="heading 2"/>
    <w:basedOn w:val="Normalny"/>
    <w:next w:val="Normalny"/>
    <w:link w:val="Nagwek2Znak"/>
    <w:semiHidden/>
    <w:unhideWhenUsed/>
    <w:qFormat/>
    <w:rsid w:val="0033272C"/>
    <w:pPr>
      <w:keepNext/>
      <w:numPr>
        <w:ilvl w:val="1"/>
        <w:numId w:val="1"/>
      </w:numPr>
      <w:spacing w:before="240" w:after="240" w:line="360" w:lineRule="auto"/>
      <w:jc w:val="both"/>
      <w:outlineLvl w:val="1"/>
    </w:pPr>
    <w:rPr>
      <w:rFonts w:ascii="Times New Roman" w:hAnsi="Times New Roman" w:cs="Arial"/>
      <w:b/>
      <w:bCs/>
      <w:iCs/>
      <w:sz w:val="28"/>
      <w:szCs w:val="28"/>
    </w:rPr>
  </w:style>
  <w:style w:type="paragraph" w:styleId="Nagwek3">
    <w:name w:val="heading 3"/>
    <w:basedOn w:val="Nagwek2"/>
    <w:next w:val="Normalny"/>
    <w:link w:val="Nagwek3Znak"/>
    <w:semiHidden/>
    <w:unhideWhenUsed/>
    <w:qFormat/>
    <w:rsid w:val="0033272C"/>
    <w:pPr>
      <w:numPr>
        <w:ilvl w:val="2"/>
      </w:num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272C"/>
    <w:rPr>
      <w:rFonts w:ascii="Times New Roman" w:eastAsia="Times New Roman" w:hAnsi="Times New Roman" w:cs="Times New Roman"/>
      <w:b/>
      <w:caps/>
      <w:sz w:val="32"/>
      <w:szCs w:val="32"/>
      <w:lang w:eastAsia="zh-CN"/>
    </w:rPr>
  </w:style>
  <w:style w:type="character" w:customStyle="1" w:styleId="Nagwek2Znak">
    <w:name w:val="Nagłówek 2 Znak"/>
    <w:basedOn w:val="Domylnaczcionkaakapitu"/>
    <w:link w:val="Nagwek2"/>
    <w:semiHidden/>
    <w:rsid w:val="0033272C"/>
    <w:rPr>
      <w:rFonts w:ascii="Times New Roman" w:eastAsia="Times New Roman" w:hAnsi="Times New Roman" w:cs="Arial"/>
      <w:b/>
      <w:bCs/>
      <w:iCs/>
      <w:sz w:val="28"/>
      <w:szCs w:val="28"/>
      <w:lang w:eastAsia="zh-CN"/>
    </w:rPr>
  </w:style>
  <w:style w:type="character" w:customStyle="1" w:styleId="Nagwek3Znak">
    <w:name w:val="Nagłówek 3 Znak"/>
    <w:basedOn w:val="Domylnaczcionkaakapitu"/>
    <w:link w:val="Nagwek3"/>
    <w:semiHidden/>
    <w:rsid w:val="0033272C"/>
    <w:rPr>
      <w:rFonts w:ascii="Times New Roman" w:eastAsia="Times New Roman" w:hAnsi="Times New Roman" w:cs="Arial"/>
      <w:b/>
      <w:bCs/>
      <w:iCs/>
      <w:sz w:val="28"/>
      <w:szCs w:val="28"/>
      <w:lang w:eastAsia="zh-CN"/>
    </w:rPr>
  </w:style>
  <w:style w:type="paragraph" w:styleId="Tekstpodstawowy">
    <w:name w:val="Body Text"/>
    <w:basedOn w:val="Normalny"/>
    <w:link w:val="TekstpodstawowyZnak"/>
    <w:semiHidden/>
    <w:unhideWhenUsed/>
    <w:rsid w:val="0033272C"/>
    <w:pPr>
      <w:suppressAutoHyphens/>
      <w:spacing w:line="480" w:lineRule="auto"/>
    </w:pPr>
    <w:rPr>
      <w:sz w:val="28"/>
      <w:szCs w:val="24"/>
    </w:rPr>
  </w:style>
  <w:style w:type="character" w:customStyle="1" w:styleId="TekstpodstawowyZnak">
    <w:name w:val="Tekst podstawowy Znak"/>
    <w:basedOn w:val="Domylnaczcionkaakapitu"/>
    <w:link w:val="Tekstpodstawowy"/>
    <w:semiHidden/>
    <w:rsid w:val="0033272C"/>
    <w:rPr>
      <w:rFonts w:ascii="Calibri" w:eastAsia="Times New Roman" w:hAnsi="Calibri" w:cs="Times New Roman"/>
      <w:sz w:val="28"/>
      <w:szCs w:val="24"/>
      <w:lang w:eastAsia="zh-CN"/>
    </w:rPr>
  </w:style>
  <w:style w:type="paragraph" w:styleId="Tekstdymka">
    <w:name w:val="Balloon Text"/>
    <w:basedOn w:val="Normalny"/>
    <w:link w:val="TekstdymkaZnak"/>
    <w:uiPriority w:val="99"/>
    <w:semiHidden/>
    <w:unhideWhenUsed/>
    <w:rsid w:val="0033272C"/>
    <w:rPr>
      <w:rFonts w:ascii="Tahoma" w:hAnsi="Tahoma" w:cs="Tahoma"/>
      <w:sz w:val="16"/>
      <w:szCs w:val="16"/>
    </w:rPr>
  </w:style>
  <w:style w:type="character" w:customStyle="1" w:styleId="TekstdymkaZnak">
    <w:name w:val="Tekst dymka Znak"/>
    <w:basedOn w:val="Domylnaczcionkaakapitu"/>
    <w:link w:val="Tekstdymka"/>
    <w:uiPriority w:val="99"/>
    <w:semiHidden/>
    <w:rsid w:val="0033272C"/>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5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4669</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Rysiak</dc:creator>
  <cp:lastModifiedBy>Edyta Rysiak</cp:lastModifiedBy>
  <cp:revision>1</cp:revision>
  <dcterms:created xsi:type="dcterms:W3CDTF">2016-05-17T08:15:00Z</dcterms:created>
  <dcterms:modified xsi:type="dcterms:W3CDTF">2016-05-17T08:17:00Z</dcterms:modified>
</cp:coreProperties>
</file>