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01666" w14:textId="77777777" w:rsidR="00400D76" w:rsidRPr="009C5269" w:rsidRDefault="006C3EB5" w:rsidP="00D470C3">
      <w:pPr>
        <w:spacing w:after="0" w:line="276" w:lineRule="auto"/>
        <w:jc w:val="center"/>
        <w:rPr>
          <w:b/>
          <w:lang w:val="en-GB"/>
        </w:rPr>
      </w:pPr>
      <w:r w:rsidRPr="00400D76">
        <w:rPr>
          <w:b/>
          <w:lang w:val="en-GB"/>
        </w:rPr>
        <w:t>Announcement</w:t>
      </w:r>
    </w:p>
    <w:p w14:paraId="17B81715" w14:textId="77777777" w:rsidR="00400D76" w:rsidRPr="009C5269" w:rsidRDefault="006C3EB5" w:rsidP="00400D76">
      <w:pPr>
        <w:spacing w:after="120" w:line="276" w:lineRule="auto"/>
        <w:jc w:val="center"/>
        <w:rPr>
          <w:b/>
          <w:lang w:val="en-GB"/>
        </w:rPr>
      </w:pPr>
      <w:r w:rsidRPr="00400D76">
        <w:rPr>
          <w:b/>
          <w:lang w:val="en-GB"/>
        </w:rPr>
        <w:t>of the Rector of the Medical University of Bialystok</w:t>
      </w:r>
    </w:p>
    <w:p w14:paraId="0C5A33CF" w14:textId="4A4874DE" w:rsidR="00400D76" w:rsidRPr="009C5269" w:rsidRDefault="006C3EB5" w:rsidP="00400D76">
      <w:pPr>
        <w:spacing w:after="0" w:line="276" w:lineRule="auto"/>
        <w:jc w:val="center"/>
        <w:rPr>
          <w:lang w:val="en-GB"/>
        </w:rPr>
      </w:pPr>
      <w:r>
        <w:rPr>
          <w:lang w:val="en-GB"/>
        </w:rPr>
        <w:t xml:space="preserve">on the implementation of professional </w:t>
      </w:r>
      <w:r w:rsidR="009C5269">
        <w:rPr>
          <w:lang w:val="en-GB"/>
        </w:rPr>
        <w:t>clerkship</w:t>
      </w:r>
      <w:r>
        <w:rPr>
          <w:lang w:val="en-GB"/>
        </w:rPr>
        <w:t xml:space="preserve"> by medical English Division students</w:t>
      </w:r>
    </w:p>
    <w:p w14:paraId="7B8241FF" w14:textId="77777777" w:rsidR="00400D76" w:rsidRDefault="006C3EB5" w:rsidP="00400D76">
      <w:pPr>
        <w:spacing w:after="0" w:line="276" w:lineRule="auto"/>
        <w:jc w:val="center"/>
      </w:pPr>
      <w:r>
        <w:rPr>
          <w:lang w:val="en-GB"/>
        </w:rPr>
        <w:t>in the academic year 2020/2021</w:t>
      </w:r>
    </w:p>
    <w:p w14:paraId="4F2ABD83" w14:textId="77777777" w:rsidR="00400D76" w:rsidRDefault="00400D76"/>
    <w:p w14:paraId="35B51764" w14:textId="77777777" w:rsidR="00400D76" w:rsidRPr="009C5269" w:rsidRDefault="006C3EB5" w:rsidP="00D470C3">
      <w:pPr>
        <w:pStyle w:val="Akapitzlist"/>
        <w:numPr>
          <w:ilvl w:val="0"/>
          <w:numId w:val="1"/>
        </w:numPr>
        <w:ind w:left="284" w:hanging="284"/>
        <w:jc w:val="both"/>
        <w:rPr>
          <w:lang w:val="en-GB"/>
        </w:rPr>
      </w:pPr>
      <w:r>
        <w:rPr>
          <w:lang w:val="en-GB"/>
        </w:rPr>
        <w:t>Pursuant to the Regulations of the 1st degree, 2nd degree and uniform Master's studies at the Medical University of Bialystok (hereinafter referred to as Regulations), professional apprenticeships are an integral part of studies and are implemented in accordance with the study program and the study plan (§7 of the Regulations).</w:t>
      </w:r>
    </w:p>
    <w:p w14:paraId="7F4F3822" w14:textId="421DED46" w:rsidR="00400D76" w:rsidRPr="009C5269" w:rsidRDefault="006C3EB5" w:rsidP="00D470C3">
      <w:pPr>
        <w:pStyle w:val="Akapitzlist"/>
        <w:numPr>
          <w:ilvl w:val="0"/>
          <w:numId w:val="1"/>
        </w:numPr>
        <w:ind w:left="284" w:hanging="284"/>
        <w:jc w:val="both"/>
        <w:rPr>
          <w:lang w:val="en-GB"/>
        </w:rPr>
      </w:pPr>
      <w:r>
        <w:rPr>
          <w:lang w:val="en-GB"/>
        </w:rPr>
        <w:t>Undertaking</w:t>
      </w:r>
      <w:r w:rsidR="009C5269">
        <w:rPr>
          <w:lang w:val="en-GB"/>
        </w:rPr>
        <w:t xml:space="preserve"> clerkship</w:t>
      </w:r>
      <w:r>
        <w:rPr>
          <w:lang w:val="en-GB"/>
        </w:rPr>
        <w:t xml:space="preserve"> is a student's obligation (§9 section  2 point 2 of the Regulations), while passing the apprenticeship is a condition for obtaining credit for the academic year (§13 section  2 point 1 of the Regulations).</w:t>
      </w:r>
    </w:p>
    <w:p w14:paraId="1D296445" w14:textId="77777777" w:rsidR="00400D76" w:rsidRPr="009C5269" w:rsidRDefault="006C3EB5" w:rsidP="00D470C3">
      <w:pPr>
        <w:pStyle w:val="Akapitzlist"/>
        <w:numPr>
          <w:ilvl w:val="0"/>
          <w:numId w:val="1"/>
        </w:numPr>
        <w:ind w:left="284" w:hanging="284"/>
        <w:jc w:val="both"/>
        <w:rPr>
          <w:lang w:val="en-GB"/>
        </w:rPr>
      </w:pPr>
      <w:r>
        <w:rPr>
          <w:lang w:val="en-GB"/>
        </w:rPr>
        <w:t>Students are required to take all possible actions aimed at fulfilling the obligation to implement apprenticeships in the academic year 2020/2021.</w:t>
      </w:r>
    </w:p>
    <w:p w14:paraId="57F85E8A" w14:textId="43244A97" w:rsidR="00400D76" w:rsidRPr="009C5269" w:rsidRDefault="006C3EB5" w:rsidP="00D470C3">
      <w:pPr>
        <w:pStyle w:val="Akapitzlist"/>
        <w:numPr>
          <w:ilvl w:val="0"/>
          <w:numId w:val="1"/>
        </w:numPr>
        <w:ind w:left="284" w:hanging="284"/>
        <w:jc w:val="both"/>
        <w:rPr>
          <w:lang w:val="en-GB"/>
        </w:rPr>
      </w:pPr>
      <w:r>
        <w:rPr>
          <w:lang w:val="en-GB"/>
        </w:rPr>
        <w:t xml:space="preserve">In exceptional, duly justified cases – resulting from restrictions related to the SARS-CoV-2 epidemic in medical entities, in the countries of origin of students – </w:t>
      </w:r>
      <w:r w:rsidR="009C5269">
        <w:rPr>
          <w:lang w:val="en-GB"/>
        </w:rPr>
        <w:t>clerkship</w:t>
      </w:r>
      <w:r>
        <w:rPr>
          <w:lang w:val="en-GB"/>
        </w:rPr>
        <w:t xml:space="preserve"> may be postponed to the next academic year. </w:t>
      </w:r>
    </w:p>
    <w:p w14:paraId="6E4FCC2A" w14:textId="572524E2" w:rsidR="00400D76" w:rsidRPr="009C5269" w:rsidRDefault="006C3EB5" w:rsidP="00D470C3">
      <w:pPr>
        <w:pStyle w:val="Akapitzlist"/>
        <w:numPr>
          <w:ilvl w:val="0"/>
          <w:numId w:val="1"/>
        </w:numPr>
        <w:ind w:left="284" w:hanging="284"/>
        <w:jc w:val="both"/>
        <w:rPr>
          <w:lang w:val="en-GB"/>
        </w:rPr>
      </w:pPr>
      <w:r w:rsidRPr="008E76CF">
        <w:rPr>
          <w:lang w:val="en-GB"/>
        </w:rPr>
        <w:t xml:space="preserve">Cases of inability to undertake </w:t>
      </w:r>
      <w:r w:rsidR="009C5269">
        <w:rPr>
          <w:lang w:val="en-GB"/>
        </w:rPr>
        <w:t>clerkship</w:t>
      </w:r>
      <w:r w:rsidRPr="008E76CF">
        <w:rPr>
          <w:lang w:val="en-GB"/>
        </w:rPr>
        <w:t xml:space="preserve">, or impediments to the implementation of </w:t>
      </w:r>
      <w:r w:rsidR="009C5269">
        <w:rPr>
          <w:lang w:val="en-GB"/>
        </w:rPr>
        <w:t>clerkship</w:t>
      </w:r>
      <w:r w:rsidRPr="008E76CF">
        <w:rPr>
          <w:lang w:val="en-GB"/>
        </w:rPr>
        <w:t>, should be reported immediately to assess and verify the situation and consider the possibility of removing the impediments.</w:t>
      </w:r>
    </w:p>
    <w:p w14:paraId="06586704" w14:textId="0D89F9B0" w:rsidR="00400D76" w:rsidRPr="009C5269" w:rsidRDefault="006C3EB5" w:rsidP="00D470C3">
      <w:pPr>
        <w:pStyle w:val="Akapitzlist"/>
        <w:numPr>
          <w:ilvl w:val="0"/>
          <w:numId w:val="1"/>
        </w:numPr>
        <w:ind w:left="284" w:hanging="284"/>
        <w:jc w:val="both"/>
        <w:rPr>
          <w:lang w:val="en-GB"/>
        </w:rPr>
      </w:pPr>
      <w:r>
        <w:rPr>
          <w:lang w:val="en-GB"/>
        </w:rPr>
        <w:t xml:space="preserve">Application for the postponement of </w:t>
      </w:r>
      <w:r w:rsidR="009C5269">
        <w:rPr>
          <w:lang w:val="en-GB"/>
        </w:rPr>
        <w:t>clerkship</w:t>
      </w:r>
      <w:r>
        <w:rPr>
          <w:lang w:val="en-GB"/>
        </w:rPr>
        <w:t xml:space="preserve"> to the next academic year should be submitted in writing and contain a justification. The application must be submitted to the </w:t>
      </w:r>
      <w:r w:rsidR="009C5269">
        <w:rPr>
          <w:lang w:val="en-GB"/>
        </w:rPr>
        <w:t>clerkship</w:t>
      </w:r>
      <w:r>
        <w:rPr>
          <w:lang w:val="en-GB"/>
        </w:rPr>
        <w:t xml:space="preserve"> supervisor. </w:t>
      </w:r>
    </w:p>
    <w:p w14:paraId="0874AC65" w14:textId="32738935" w:rsidR="00400D76" w:rsidRPr="009C5269" w:rsidRDefault="006C3EB5" w:rsidP="00D470C3">
      <w:pPr>
        <w:pStyle w:val="Akapitzlist"/>
        <w:numPr>
          <w:ilvl w:val="0"/>
          <w:numId w:val="1"/>
        </w:numPr>
        <w:ind w:left="284" w:hanging="284"/>
        <w:jc w:val="both"/>
        <w:rPr>
          <w:lang w:val="en-GB"/>
        </w:rPr>
      </w:pPr>
      <w:r>
        <w:rPr>
          <w:lang w:val="en-GB"/>
        </w:rPr>
        <w:t xml:space="preserve">The Dean agrees to postpone the </w:t>
      </w:r>
      <w:r w:rsidR="009C5269">
        <w:rPr>
          <w:lang w:val="en-GB"/>
        </w:rPr>
        <w:t>clerkship</w:t>
      </w:r>
      <w:r>
        <w:rPr>
          <w:lang w:val="en-GB"/>
        </w:rPr>
        <w:t xml:space="preserve"> to the next academic year, after hearing the opinion of the apprenticeship supervisor, the Dean's consent shall apply to individual cases, and the inability to implement the </w:t>
      </w:r>
      <w:r w:rsidR="009C5269">
        <w:rPr>
          <w:lang w:val="en-GB"/>
        </w:rPr>
        <w:t>clerkship</w:t>
      </w:r>
      <w:r>
        <w:rPr>
          <w:lang w:val="en-GB"/>
        </w:rPr>
        <w:t xml:space="preserve"> should, despite the existing situation, have an exceptional and objective nature.</w:t>
      </w:r>
    </w:p>
    <w:p w14:paraId="7F064B0C" w14:textId="289B8EE2" w:rsidR="00400D76" w:rsidRPr="009C5269" w:rsidRDefault="006C3EB5" w:rsidP="00D470C3">
      <w:pPr>
        <w:pStyle w:val="Akapitzlist"/>
        <w:numPr>
          <w:ilvl w:val="0"/>
          <w:numId w:val="1"/>
        </w:numPr>
        <w:ind w:left="284" w:hanging="284"/>
        <w:jc w:val="both"/>
        <w:rPr>
          <w:lang w:val="en-GB"/>
        </w:rPr>
      </w:pPr>
      <w:r>
        <w:rPr>
          <w:lang w:val="en-GB"/>
        </w:rPr>
        <w:t xml:space="preserve">The Dean's consent to postpone the implementation of </w:t>
      </w:r>
      <w:r w:rsidR="009C5269">
        <w:rPr>
          <w:lang w:val="en-GB"/>
        </w:rPr>
        <w:t>clerkship</w:t>
      </w:r>
      <w:r>
        <w:rPr>
          <w:lang w:val="en-GB"/>
        </w:rPr>
        <w:t xml:space="preserve"> to the next academic year will not result in failure to receive credits for </w:t>
      </w:r>
      <w:r w:rsidR="009C5269">
        <w:rPr>
          <w:lang w:val="en-GB"/>
        </w:rPr>
        <w:t>clerkship</w:t>
      </w:r>
      <w:r>
        <w:rPr>
          <w:lang w:val="en-GB"/>
        </w:rPr>
        <w:t xml:space="preserve"> in the academic year 2020/2021.</w:t>
      </w:r>
    </w:p>
    <w:p w14:paraId="433486DD" w14:textId="7B56BEBC" w:rsidR="006147FA" w:rsidRPr="009C5269" w:rsidRDefault="006C3EB5" w:rsidP="00D470C3">
      <w:pPr>
        <w:pStyle w:val="Akapitzlist"/>
        <w:numPr>
          <w:ilvl w:val="0"/>
          <w:numId w:val="1"/>
        </w:numPr>
        <w:ind w:left="284" w:hanging="284"/>
        <w:jc w:val="both"/>
        <w:rPr>
          <w:lang w:val="en-GB"/>
        </w:rPr>
      </w:pPr>
      <w:r>
        <w:rPr>
          <w:lang w:val="en-GB"/>
        </w:rPr>
        <w:t xml:space="preserve">In the absence of the Dean's consent to postpone the apprenticeships to the next academic year, the student is required to complete </w:t>
      </w:r>
      <w:r w:rsidR="009C5269">
        <w:rPr>
          <w:lang w:val="en-GB"/>
        </w:rPr>
        <w:t>clerkship</w:t>
      </w:r>
      <w:r>
        <w:rPr>
          <w:lang w:val="en-GB"/>
        </w:rPr>
        <w:t xml:space="preserve"> in the academic year 2020/2021. </w:t>
      </w:r>
    </w:p>
    <w:p w14:paraId="75688418" w14:textId="7C3A1DC4" w:rsidR="00400D76" w:rsidRPr="009C5269" w:rsidRDefault="006C3EB5" w:rsidP="00D470C3">
      <w:pPr>
        <w:pStyle w:val="Akapitzlist"/>
        <w:numPr>
          <w:ilvl w:val="0"/>
          <w:numId w:val="1"/>
        </w:numPr>
        <w:ind w:left="284" w:hanging="284"/>
        <w:jc w:val="both"/>
        <w:rPr>
          <w:lang w:val="en-GB"/>
        </w:rPr>
      </w:pPr>
      <w:r>
        <w:rPr>
          <w:lang w:val="en-GB"/>
        </w:rPr>
        <w:t xml:space="preserve">Postponing the implementation of </w:t>
      </w:r>
      <w:r w:rsidR="009C5269">
        <w:rPr>
          <w:lang w:val="en-GB"/>
        </w:rPr>
        <w:t>clerkship</w:t>
      </w:r>
      <w:r>
        <w:rPr>
          <w:lang w:val="en-GB"/>
        </w:rPr>
        <w:t xml:space="preserve"> to the next academic year does not exempt from the obligation to implement </w:t>
      </w:r>
      <w:r w:rsidR="009C5269">
        <w:rPr>
          <w:lang w:val="en-GB"/>
        </w:rPr>
        <w:t>clerkship</w:t>
      </w:r>
      <w:bookmarkStart w:id="0" w:name="_GoBack"/>
      <w:bookmarkEnd w:id="0"/>
      <w:r>
        <w:rPr>
          <w:lang w:val="en-GB"/>
        </w:rPr>
        <w:t xml:space="preserve">, and only results in postponing the date of their implementation. Students applying for the postponement must be aware that in the next academic year, regardless of the performance of current duties, they will be obliged to complete the outstanding professional </w:t>
      </w:r>
      <w:r w:rsidR="009C5269">
        <w:rPr>
          <w:lang w:val="en-GB"/>
        </w:rPr>
        <w:t>clerkship</w:t>
      </w:r>
      <w:r>
        <w:rPr>
          <w:lang w:val="en-GB"/>
        </w:rPr>
        <w:t>.</w:t>
      </w:r>
    </w:p>
    <w:p w14:paraId="45A08B0C" w14:textId="36229B33" w:rsidR="00400D76" w:rsidRPr="009C5269" w:rsidRDefault="006C3EB5" w:rsidP="00D470C3">
      <w:pPr>
        <w:pStyle w:val="Akapitzlist"/>
        <w:numPr>
          <w:ilvl w:val="0"/>
          <w:numId w:val="1"/>
        </w:numPr>
        <w:ind w:left="284" w:hanging="284"/>
        <w:jc w:val="both"/>
        <w:rPr>
          <w:lang w:val="en-GB"/>
        </w:rPr>
      </w:pPr>
      <w:r>
        <w:rPr>
          <w:lang w:val="en-GB"/>
        </w:rPr>
        <w:t xml:space="preserve">The implementation of the professional </w:t>
      </w:r>
      <w:r w:rsidR="009C5269">
        <w:rPr>
          <w:lang w:val="en-GB"/>
        </w:rPr>
        <w:t>clerkship</w:t>
      </w:r>
      <w:r>
        <w:rPr>
          <w:lang w:val="en-GB"/>
        </w:rPr>
        <w:t xml:space="preserve"> from the academic year 2020/2021 in the academic year 2021/2022 cannot be a basis for justifying the lack of implementation of the program and the study plan in 2021/2022.</w:t>
      </w:r>
    </w:p>
    <w:p w14:paraId="3B032ECA" w14:textId="77777777" w:rsidR="00400D76" w:rsidRPr="009C5269" w:rsidRDefault="00400D76">
      <w:pPr>
        <w:rPr>
          <w:lang w:val="en-GB"/>
        </w:rPr>
      </w:pPr>
    </w:p>
    <w:sectPr w:rsidR="00400D76" w:rsidRPr="009C5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70841"/>
    <w:multiLevelType w:val="hybridMultilevel"/>
    <w:tmpl w:val="8D78C870"/>
    <w:lvl w:ilvl="0" w:tplc="4C56EF42">
      <w:start w:val="1"/>
      <w:numFmt w:val="decimal"/>
      <w:lvlText w:val="%1."/>
      <w:lvlJc w:val="left"/>
      <w:pPr>
        <w:ind w:left="720" w:hanging="360"/>
      </w:pPr>
    </w:lvl>
    <w:lvl w:ilvl="1" w:tplc="3A449B2E" w:tentative="1">
      <w:start w:val="1"/>
      <w:numFmt w:val="lowerLetter"/>
      <w:lvlText w:val="%2."/>
      <w:lvlJc w:val="left"/>
      <w:pPr>
        <w:ind w:left="1440" w:hanging="360"/>
      </w:pPr>
    </w:lvl>
    <w:lvl w:ilvl="2" w:tplc="DD582C76" w:tentative="1">
      <w:start w:val="1"/>
      <w:numFmt w:val="lowerRoman"/>
      <w:lvlText w:val="%3."/>
      <w:lvlJc w:val="right"/>
      <w:pPr>
        <w:ind w:left="2160" w:hanging="180"/>
      </w:pPr>
    </w:lvl>
    <w:lvl w:ilvl="3" w:tplc="FF865D16" w:tentative="1">
      <w:start w:val="1"/>
      <w:numFmt w:val="decimal"/>
      <w:lvlText w:val="%4."/>
      <w:lvlJc w:val="left"/>
      <w:pPr>
        <w:ind w:left="2880" w:hanging="360"/>
      </w:pPr>
    </w:lvl>
    <w:lvl w:ilvl="4" w:tplc="97229E36" w:tentative="1">
      <w:start w:val="1"/>
      <w:numFmt w:val="lowerLetter"/>
      <w:lvlText w:val="%5."/>
      <w:lvlJc w:val="left"/>
      <w:pPr>
        <w:ind w:left="3600" w:hanging="360"/>
      </w:pPr>
    </w:lvl>
    <w:lvl w:ilvl="5" w:tplc="F6C0DE8E" w:tentative="1">
      <w:start w:val="1"/>
      <w:numFmt w:val="lowerRoman"/>
      <w:lvlText w:val="%6."/>
      <w:lvlJc w:val="right"/>
      <w:pPr>
        <w:ind w:left="4320" w:hanging="180"/>
      </w:pPr>
    </w:lvl>
    <w:lvl w:ilvl="6" w:tplc="8A509BF4" w:tentative="1">
      <w:start w:val="1"/>
      <w:numFmt w:val="decimal"/>
      <w:lvlText w:val="%7."/>
      <w:lvlJc w:val="left"/>
      <w:pPr>
        <w:ind w:left="5040" w:hanging="360"/>
      </w:pPr>
    </w:lvl>
    <w:lvl w:ilvl="7" w:tplc="56A8E6DC" w:tentative="1">
      <w:start w:val="1"/>
      <w:numFmt w:val="lowerLetter"/>
      <w:lvlText w:val="%8."/>
      <w:lvlJc w:val="left"/>
      <w:pPr>
        <w:ind w:left="5760" w:hanging="360"/>
      </w:pPr>
    </w:lvl>
    <w:lvl w:ilvl="8" w:tplc="2572E19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76"/>
    <w:rsid w:val="00233833"/>
    <w:rsid w:val="003C17AC"/>
    <w:rsid w:val="00400D76"/>
    <w:rsid w:val="005C3FF4"/>
    <w:rsid w:val="006147FA"/>
    <w:rsid w:val="006C3EB5"/>
    <w:rsid w:val="008E76CF"/>
    <w:rsid w:val="009C5269"/>
    <w:rsid w:val="00A57CE4"/>
    <w:rsid w:val="00B63671"/>
    <w:rsid w:val="00D470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7980A-30FC-49DC-81F0-18FF538A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8E76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E76CF"/>
    <w:rPr>
      <w:sz w:val="20"/>
      <w:szCs w:val="20"/>
    </w:rPr>
  </w:style>
  <w:style w:type="character" w:styleId="Odwoanieprzypisukocowego">
    <w:name w:val="endnote reference"/>
    <w:basedOn w:val="Domylnaczcionkaakapitu"/>
    <w:uiPriority w:val="99"/>
    <w:semiHidden/>
    <w:unhideWhenUsed/>
    <w:rsid w:val="008E76CF"/>
    <w:rPr>
      <w:vertAlign w:val="superscript"/>
    </w:rPr>
  </w:style>
  <w:style w:type="paragraph" w:styleId="Akapitzlist">
    <w:name w:val="List Paragraph"/>
    <w:basedOn w:val="Normalny"/>
    <w:uiPriority w:val="34"/>
    <w:qFormat/>
    <w:rsid w:val="00D470C3"/>
    <w:pPr>
      <w:ind w:left="720"/>
      <w:contextualSpacing/>
    </w:pPr>
  </w:style>
  <w:style w:type="character" w:styleId="Odwoaniedokomentarza">
    <w:name w:val="annotation reference"/>
    <w:basedOn w:val="Domylnaczcionkaakapitu"/>
    <w:uiPriority w:val="99"/>
    <w:semiHidden/>
    <w:unhideWhenUsed/>
    <w:rsid w:val="005C3FF4"/>
    <w:rPr>
      <w:sz w:val="16"/>
      <w:szCs w:val="16"/>
    </w:rPr>
  </w:style>
  <w:style w:type="paragraph" w:styleId="Tekstkomentarza">
    <w:name w:val="annotation text"/>
    <w:basedOn w:val="Normalny"/>
    <w:link w:val="TekstkomentarzaZnak"/>
    <w:uiPriority w:val="99"/>
    <w:semiHidden/>
    <w:unhideWhenUsed/>
    <w:rsid w:val="005C3FF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C3FF4"/>
    <w:rPr>
      <w:sz w:val="20"/>
      <w:szCs w:val="20"/>
    </w:rPr>
  </w:style>
  <w:style w:type="paragraph" w:styleId="Tematkomentarza">
    <w:name w:val="annotation subject"/>
    <w:basedOn w:val="Tekstkomentarza"/>
    <w:next w:val="Tekstkomentarza"/>
    <w:link w:val="TematkomentarzaZnak"/>
    <w:uiPriority w:val="99"/>
    <w:semiHidden/>
    <w:unhideWhenUsed/>
    <w:rsid w:val="005C3FF4"/>
    <w:rPr>
      <w:b/>
      <w:bCs/>
    </w:rPr>
  </w:style>
  <w:style w:type="character" w:customStyle="1" w:styleId="TematkomentarzaZnak">
    <w:name w:val="Temat komentarza Znak"/>
    <w:basedOn w:val="TekstkomentarzaZnak"/>
    <w:link w:val="Tematkomentarza"/>
    <w:uiPriority w:val="99"/>
    <w:semiHidden/>
    <w:rsid w:val="005C3FF4"/>
    <w:rPr>
      <w:b/>
      <w:bCs/>
      <w:sz w:val="20"/>
      <w:szCs w:val="20"/>
    </w:rPr>
  </w:style>
  <w:style w:type="paragraph" w:styleId="Tekstdymka">
    <w:name w:val="Balloon Text"/>
    <w:basedOn w:val="Normalny"/>
    <w:link w:val="TekstdymkaZnak"/>
    <w:uiPriority w:val="99"/>
    <w:semiHidden/>
    <w:unhideWhenUsed/>
    <w:rsid w:val="005C3F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3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2407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Medical University of Bialystok</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Kurcewicz</dc:creator>
  <cp:lastModifiedBy>Monika</cp:lastModifiedBy>
  <cp:revision>3</cp:revision>
  <dcterms:created xsi:type="dcterms:W3CDTF">2021-09-09T08:29:00Z</dcterms:created>
  <dcterms:modified xsi:type="dcterms:W3CDTF">2021-09-09T08:34:00Z</dcterms:modified>
</cp:coreProperties>
</file>