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24" w:rsidRDefault="00376B24" w:rsidP="00376B2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</w:rPr>
        <w:t>SYL</w:t>
      </w:r>
      <w:r w:rsidR="00334968">
        <w:rPr>
          <w:rFonts w:eastAsia="Times New Roman"/>
          <w:b/>
          <w:sz w:val="32"/>
          <w:szCs w:val="32"/>
        </w:rPr>
        <w:t>L</w:t>
      </w:r>
      <w:r>
        <w:rPr>
          <w:rFonts w:eastAsia="Times New Roman"/>
          <w:b/>
          <w:sz w:val="32"/>
          <w:szCs w:val="32"/>
        </w:rPr>
        <w:t>ABUS</w:t>
      </w:r>
    </w:p>
    <w:p w:rsidR="00376B24" w:rsidRDefault="00376B24" w:rsidP="00376B2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376B24" w:rsidRDefault="00376B24" w:rsidP="00376B24">
      <w:pPr>
        <w:pStyle w:val="Akapitzlist1"/>
        <w:autoSpaceDE w:val="0"/>
        <w:autoSpaceDN w:val="0"/>
        <w:adjustRightInd w:val="0"/>
        <w:ind w:left="108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376B24" w:rsidRPr="000532AD" w:rsidTr="00376B24">
        <w:trPr>
          <w:jc w:val="center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376B24" w:rsidP="0008537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Name of </w:t>
            </w:r>
            <w:r w:rsidR="009B0AA1"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a</w:t>
            </w: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 course</w:t>
            </w:r>
            <w:r w:rsidR="0073312E"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/</w:t>
            </w: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376B24" w:rsidRPr="000532AD" w:rsidTr="00376B24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Faculty</w:t>
            </w:r>
            <w:r w:rsidRPr="00FE7D9B">
              <w:rPr>
                <w:rFonts w:eastAsia="Times New Roman"/>
                <w:b/>
                <w:sz w:val="20"/>
                <w:szCs w:val="20"/>
              </w:rPr>
              <w:t xml:space="preserve"> of 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FE7D9B" w:rsidRDefault="00FB7F9C" w:rsidP="00FB7F9C">
            <w:pPr>
              <w:keepNext/>
              <w:spacing w:before="120" w:after="120"/>
              <w:outlineLvl w:val="1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Arial Unicode MS"/>
                <w:b/>
                <w:sz w:val="20"/>
                <w:szCs w:val="20"/>
                <w:lang w:val="en-US"/>
              </w:rPr>
              <w:t>Medicine with Division of Dentistry and  Division of  Medical  Education in English</w:t>
            </w:r>
          </w:p>
        </w:tc>
      </w:tr>
      <w:tr w:rsidR="00376B24" w:rsidRPr="00FE7D9B" w:rsidTr="00376B24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567EB4" w:rsidP="00567EB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</w:t>
            </w:r>
            <w:r w:rsidR="00FB7F9C"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ame</w:t>
            </w: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FE7D9B">
              <w:rPr>
                <w:rFonts w:eastAsiaTheme="minorHAnsi"/>
                <w:b/>
                <w:sz w:val="20"/>
                <w:szCs w:val="20"/>
                <w:lang w:val="en-US" w:eastAsia="en-US"/>
              </w:rPr>
              <w:t>of</w:t>
            </w:r>
            <w:r w:rsidR="009B0AA1" w:rsidRPr="00FE7D9B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a</w:t>
            </w:r>
            <w:r w:rsidRPr="00FE7D9B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field of study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0A55E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Neurosurgery</w:t>
            </w:r>
          </w:p>
        </w:tc>
      </w:tr>
      <w:tr w:rsidR="00376B24" w:rsidRPr="00FE7D9B" w:rsidTr="00376B24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>Level</w:t>
            </w:r>
            <w:r w:rsidRPr="00FE7D9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 xml:space="preserve">of </w:t>
            </w:r>
            <w:proofErr w:type="spellStart"/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76B24" w:rsidRPr="00FE7D9B" w:rsidTr="00376B24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>Form</w:t>
            </w:r>
            <w:r w:rsidRPr="00FE7D9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 xml:space="preserve">of </w:t>
            </w:r>
            <w:proofErr w:type="spellStart"/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0A55E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stationary</w:t>
            </w:r>
            <w:proofErr w:type="spellEnd"/>
          </w:p>
        </w:tc>
      </w:tr>
      <w:tr w:rsidR="00376B24" w:rsidRPr="00FE7D9B" w:rsidTr="00376B24">
        <w:trPr>
          <w:trHeight w:val="32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Language</w:t>
            </w:r>
            <w:r w:rsidRPr="00FE7D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of </w:t>
            </w:r>
            <w:r w:rsidRPr="00FE7D9B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0A55E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English</w:t>
            </w:r>
          </w:p>
        </w:tc>
      </w:tr>
      <w:tr w:rsidR="00376B24" w:rsidRPr="00FE7D9B" w:rsidTr="00376B24">
        <w:trPr>
          <w:trHeight w:val="285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FE7D9B">
              <w:rPr>
                <w:rStyle w:val="hps"/>
                <w:b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FE7D9B">
              <w:rPr>
                <w:rStyle w:val="hps"/>
                <w:b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FE7D9B">
              <w:rPr>
                <w:rStyle w:val="hps"/>
                <w:b/>
                <w:color w:val="000000" w:themeColor="text1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376B24" w:rsidRPr="00FE7D9B" w:rsidRDefault="00FB7F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E7D9B">
              <w:rPr>
                <w:color w:val="000000" w:themeColor="text1"/>
                <w:sz w:val="20"/>
                <w:szCs w:val="20"/>
                <w:lang w:val="en-US"/>
              </w:rPr>
              <w:t>obligator</w:t>
            </w:r>
            <w:r w:rsidRPr="00FE7D9B">
              <w:rPr>
                <w:color w:val="888888"/>
                <w:sz w:val="20"/>
                <w:szCs w:val="20"/>
                <w:lang w:val="en-US"/>
              </w:rPr>
              <w:t>y</w:t>
            </w:r>
            <w:r w:rsidR="00376B24" w:rsidRPr="00FE7D9B">
              <w:rPr>
                <w:rFonts w:eastAsia="Times New Roman"/>
                <w:sz w:val="20"/>
                <w:szCs w:val="20"/>
              </w:rPr>
              <w:t xml:space="preserve">  </w:t>
            </w:r>
            <w:r w:rsidR="00376B24" w:rsidRPr="000A55E1">
              <w:rPr>
                <w:rFonts w:eastAsia="Times New Roman"/>
                <w:sz w:val="20"/>
                <w:szCs w:val="20"/>
                <w:shd w:val="clear" w:color="auto" w:fill="000000" w:themeFill="text1"/>
              </w:rPr>
              <w:sym w:font="Wingdings 2" w:char="F0A3"/>
            </w:r>
            <w:r w:rsidR="00376B24" w:rsidRPr="00FE7D9B">
              <w:rPr>
                <w:rFonts w:eastAsia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Pr="00FE7D9B">
              <w:rPr>
                <w:rStyle w:val="hps"/>
                <w:color w:val="000000" w:themeColor="text1"/>
                <w:sz w:val="20"/>
                <w:szCs w:val="20"/>
              </w:rPr>
              <w:t>facultative</w:t>
            </w:r>
            <w:proofErr w:type="spellEnd"/>
            <w:r w:rsidR="00376B24" w:rsidRPr="00FE7D9B">
              <w:rPr>
                <w:rFonts w:eastAsia="Times New Roman"/>
                <w:sz w:val="20"/>
                <w:szCs w:val="20"/>
              </w:rPr>
              <w:t xml:space="preserve">   </w:t>
            </w:r>
            <w:r w:rsidR="00376B24"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376B24" w:rsidRPr="00FE7D9B" w:rsidTr="00376B24">
        <w:trPr>
          <w:trHeight w:val="274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FB7F9C" w:rsidP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E7D9B">
              <w:rPr>
                <w:rStyle w:val="hps"/>
                <w:b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FE7D9B">
              <w:rPr>
                <w:rStyle w:val="hps"/>
                <w:b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FE7D9B">
              <w:rPr>
                <w:rStyle w:val="hps"/>
                <w:b/>
                <w:color w:val="000000" w:themeColor="text1"/>
                <w:sz w:val="20"/>
                <w:szCs w:val="20"/>
              </w:rPr>
              <w:t>study</w:t>
            </w:r>
            <w:proofErr w:type="spellEnd"/>
            <w:r w:rsidRPr="00FE7D9B">
              <w:rPr>
                <w:rStyle w:val="hps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E7D9B">
              <w:rPr>
                <w:rStyle w:val="hps"/>
                <w:b/>
                <w:color w:val="000000" w:themeColor="text1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sz w:val="20"/>
                <w:szCs w:val="20"/>
              </w:rPr>
              <w:t xml:space="preserve">I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II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III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IV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V</w:t>
            </w:r>
            <w:r w:rsidR="000532AD">
              <w:rPr>
                <w:rFonts w:eastAsia="Times New Roman"/>
                <w:sz w:val="20"/>
                <w:szCs w:val="20"/>
              </w:rPr>
              <w:t xml:space="preserve"> </w:t>
            </w:r>
            <w:r w:rsidR="000532AD" w:rsidRPr="000A55E1">
              <w:rPr>
                <w:rFonts w:eastAsia="Times New Roman"/>
                <w:sz w:val="20"/>
                <w:szCs w:val="20"/>
                <w:shd w:val="clear" w:color="auto" w:fill="000000" w:themeFill="text1"/>
              </w:rPr>
              <w:sym w:font="Wingdings 2" w:char="F0A3"/>
            </w:r>
            <w:r w:rsidR="000532AD">
              <w:rPr>
                <w:rFonts w:eastAsia="Times New Roman"/>
                <w:sz w:val="20"/>
                <w:szCs w:val="20"/>
                <w:shd w:val="clear" w:color="auto" w:fill="000000" w:themeFill="text1"/>
              </w:rPr>
              <w:t xml:space="preserve"> </w:t>
            </w:r>
            <w:r w:rsidRPr="00FE7D9B">
              <w:rPr>
                <w:rFonts w:eastAsia="Times New Roman"/>
                <w:sz w:val="20"/>
                <w:szCs w:val="20"/>
              </w:rPr>
              <w:t xml:space="preserve">VI </w:t>
            </w:r>
            <w:r w:rsidR="000532AD" w:rsidRPr="00FE7D9B">
              <w:rPr>
                <w:rFonts w:eastAsia="Times New Roman"/>
                <w:sz w:val="20"/>
                <w:szCs w:val="20"/>
              </w:rPr>
              <w:t xml:space="preserve"> </w:t>
            </w:r>
            <w:r w:rsidR="000532AD"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0532AD" w:rsidRPr="00FE7D9B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376B24">
            <w:pPr>
              <w:rPr>
                <w:rFonts w:eastAsia="Times New Roman"/>
                <w:sz w:val="20"/>
                <w:szCs w:val="20"/>
              </w:rPr>
            </w:pPr>
          </w:p>
          <w:p w:rsidR="000532AD" w:rsidRPr="00FE7D9B" w:rsidRDefault="00376B24" w:rsidP="000532AD">
            <w:pPr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sz w:val="20"/>
                <w:szCs w:val="20"/>
              </w:rPr>
              <w:t xml:space="preserve">1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2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3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4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5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6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7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</w:t>
            </w:r>
            <w:r w:rsidR="00B91A50">
              <w:rPr>
                <w:rFonts w:eastAsia="Times New Roman"/>
                <w:sz w:val="20"/>
                <w:szCs w:val="20"/>
              </w:rPr>
              <w:t>8</w:t>
            </w:r>
            <w:r w:rsidR="00B91A50" w:rsidRPr="00FE7D9B">
              <w:rPr>
                <w:rFonts w:eastAsia="Times New Roman"/>
                <w:sz w:val="20"/>
                <w:szCs w:val="20"/>
              </w:rPr>
              <w:t xml:space="preserve"> </w:t>
            </w:r>
            <w:r w:rsidR="00B91A50"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B91A50" w:rsidRPr="00FE7D9B"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376B24" w:rsidRPr="00FE7D9B" w:rsidRDefault="00376B24">
            <w:pPr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sz w:val="20"/>
                <w:szCs w:val="20"/>
              </w:rPr>
              <w:t>9</w:t>
            </w:r>
            <w:r w:rsidR="00B91A50" w:rsidRPr="000A55E1">
              <w:rPr>
                <w:rFonts w:eastAsia="Times New Roman"/>
                <w:sz w:val="20"/>
                <w:szCs w:val="20"/>
                <w:shd w:val="clear" w:color="auto" w:fill="000000" w:themeFill="text1"/>
              </w:rPr>
              <w:sym w:font="Wingdings 2" w:char="F0A3"/>
            </w:r>
            <w:r w:rsidR="00B91A50" w:rsidRPr="00FE7D9B">
              <w:rPr>
                <w:rFonts w:eastAsia="Times New Roman"/>
                <w:sz w:val="20"/>
                <w:szCs w:val="20"/>
              </w:rPr>
              <w:t xml:space="preserve">   </w:t>
            </w:r>
            <w:r w:rsidRPr="00FE7D9B">
              <w:rPr>
                <w:rFonts w:eastAsia="Times New Roman"/>
                <w:sz w:val="20"/>
                <w:szCs w:val="20"/>
              </w:rPr>
              <w:t xml:space="preserve"> </w:t>
            </w:r>
            <w:r w:rsidR="00B91A50">
              <w:rPr>
                <w:rFonts w:eastAsia="Times New Roman"/>
                <w:sz w:val="20"/>
                <w:szCs w:val="20"/>
              </w:rPr>
              <w:t>10</w:t>
            </w:r>
            <w:r w:rsidR="00B91A50" w:rsidRPr="00FE7D9B">
              <w:rPr>
                <w:rFonts w:eastAsia="Times New Roman"/>
                <w:sz w:val="20"/>
                <w:szCs w:val="20"/>
              </w:rPr>
              <w:t xml:space="preserve">  </w:t>
            </w:r>
            <w:r w:rsidR="00B91A50" w:rsidRPr="000A55E1">
              <w:rPr>
                <w:rFonts w:eastAsia="Times New Roman"/>
                <w:sz w:val="20"/>
                <w:szCs w:val="20"/>
                <w:shd w:val="clear" w:color="auto" w:fill="000000" w:themeFill="text1"/>
              </w:rPr>
              <w:sym w:font="Wingdings 2" w:char="F0A3"/>
            </w:r>
            <w:r w:rsidR="00B91A50" w:rsidRPr="00FE7D9B">
              <w:rPr>
                <w:rFonts w:eastAsia="Times New Roman"/>
                <w:sz w:val="20"/>
                <w:szCs w:val="20"/>
              </w:rPr>
              <w:t xml:space="preserve">  </w:t>
            </w:r>
            <w:r w:rsidR="00B91A50">
              <w:rPr>
                <w:rFonts w:eastAsia="Times New Roman"/>
                <w:sz w:val="20"/>
                <w:szCs w:val="20"/>
              </w:rPr>
              <w:t xml:space="preserve"> </w:t>
            </w:r>
            <w:r w:rsidRPr="00FE7D9B">
              <w:rPr>
                <w:rFonts w:eastAsia="Times New Roman"/>
                <w:sz w:val="20"/>
                <w:szCs w:val="20"/>
              </w:rPr>
              <w:t xml:space="preserve">  11</w:t>
            </w:r>
            <w:r w:rsidR="000532AD"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0532AD" w:rsidRPr="00FE7D9B">
              <w:rPr>
                <w:rFonts w:eastAsia="Times New Roman"/>
                <w:sz w:val="20"/>
                <w:szCs w:val="20"/>
              </w:rPr>
              <w:t xml:space="preserve">  </w:t>
            </w:r>
            <w:r w:rsidRPr="00FE7D9B">
              <w:rPr>
                <w:rFonts w:eastAsia="Times New Roman"/>
                <w:sz w:val="20"/>
                <w:szCs w:val="20"/>
              </w:rPr>
              <w:t>12</w:t>
            </w:r>
          </w:p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76B24" w:rsidRPr="000A55E1" w:rsidTr="00376B24">
        <w:trPr>
          <w:trHeight w:val="361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33496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Number of didactic hours of classes with division for forms of teaching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0A55E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 (10- lectures, 5 seminaries, 30 exercises)</w:t>
            </w:r>
          </w:p>
        </w:tc>
      </w:tr>
      <w:tr w:rsidR="00376B24" w:rsidRPr="000532AD" w:rsidTr="00376B24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Assumptions and aims of the course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6D3A" w:rsidRDefault="000A55E1" w:rsidP="00DA6D3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The aim of the Course is expand</w:t>
            </w:r>
            <w:r w:rsidR="00313128">
              <w:rPr>
                <w:rFonts w:eastAsia="Times New Roman"/>
                <w:sz w:val="20"/>
                <w:szCs w:val="20"/>
                <w:lang w:val="en-US"/>
              </w:rPr>
              <w:t>ing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basic knowledge of </w:t>
            </w:r>
            <w:r w:rsidR="00313128">
              <w:rPr>
                <w:rFonts w:eastAsia="Times New Roman"/>
                <w:sz w:val="20"/>
                <w:szCs w:val="20"/>
                <w:lang w:val="en-US"/>
              </w:rPr>
              <w:t xml:space="preserve">neurological anatomy, physiology and </w:t>
            </w:r>
            <w:proofErr w:type="spellStart"/>
            <w:r w:rsidR="00313128">
              <w:rPr>
                <w:rFonts w:eastAsia="Times New Roman"/>
                <w:sz w:val="20"/>
                <w:szCs w:val="20"/>
                <w:lang w:val="en-US"/>
              </w:rPr>
              <w:t>pato</w:t>
            </w:r>
            <w:r>
              <w:rPr>
                <w:rFonts w:eastAsia="Times New Roman"/>
                <w:sz w:val="20"/>
                <w:szCs w:val="20"/>
                <w:lang w:val="en-US"/>
              </w:rPr>
              <w:t>physiology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to get ability to act in neurological emergencies</w:t>
            </w:r>
            <w:r w:rsidR="00313128">
              <w:rPr>
                <w:rFonts w:eastAsia="Times New Roman"/>
                <w:sz w:val="20"/>
                <w:szCs w:val="20"/>
                <w:lang w:val="en-US"/>
              </w:rPr>
              <w:t xml:space="preserve"> which need surgical intervention</w:t>
            </w:r>
            <w:r w:rsidR="00DA6D3A">
              <w:rPr>
                <w:rFonts w:eastAsia="Times New Roman"/>
                <w:sz w:val="20"/>
                <w:szCs w:val="20"/>
                <w:lang w:val="en-US"/>
              </w:rPr>
              <w:t>. T</w:t>
            </w:r>
            <w:r w:rsidR="007A6DDE">
              <w:rPr>
                <w:rFonts w:eastAsia="Times New Roman"/>
                <w:sz w:val="20"/>
                <w:szCs w:val="20"/>
                <w:lang w:val="en-US"/>
              </w:rPr>
              <w:t>he course should lead to improving of</w:t>
            </w:r>
            <w:r w:rsidR="00DA6D3A">
              <w:rPr>
                <w:rFonts w:eastAsia="Times New Roman"/>
                <w:sz w:val="20"/>
                <w:szCs w:val="20"/>
                <w:lang w:val="en-US"/>
              </w:rPr>
              <w:t xml:space="preserve"> decision making process in 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choosing </w:t>
            </w:r>
            <w:r w:rsidR="00DA6D3A">
              <w:rPr>
                <w:rFonts w:eastAsia="Times New Roman"/>
                <w:sz w:val="20"/>
                <w:szCs w:val="20"/>
                <w:lang w:val="en-US"/>
              </w:rPr>
              <w:t xml:space="preserve">diagnostic tests and proper treatment 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>for</w:t>
            </w:r>
            <w:r w:rsidR="00DA6D3A">
              <w:rPr>
                <w:rFonts w:eastAsia="Times New Roman"/>
                <w:sz w:val="20"/>
                <w:szCs w:val="20"/>
                <w:lang w:val="en-US"/>
              </w:rPr>
              <w:t xml:space="preserve"> selected pathologies, especially</w:t>
            </w:r>
            <w:r w:rsidR="00313128">
              <w:rPr>
                <w:rFonts w:eastAsia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313128">
              <w:rPr>
                <w:rFonts w:eastAsia="Times New Roman"/>
                <w:sz w:val="20"/>
                <w:szCs w:val="20"/>
                <w:lang w:val="en-US"/>
              </w:rPr>
              <w:t>neurotrauma</w:t>
            </w:r>
            <w:proofErr w:type="spellEnd"/>
            <w:r w:rsidR="00313128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DA6D3A">
              <w:rPr>
                <w:rFonts w:eastAsia="Times New Roman"/>
                <w:sz w:val="20"/>
                <w:szCs w:val="20"/>
                <w:lang w:val="en-US"/>
              </w:rPr>
              <w:t>vascular diseases</w:t>
            </w:r>
            <w:r w:rsidR="00313128">
              <w:rPr>
                <w:rFonts w:eastAsia="Times New Roman"/>
                <w:sz w:val="20"/>
                <w:szCs w:val="20"/>
                <w:lang w:val="en-US"/>
              </w:rPr>
              <w:t xml:space="preserve"> of the brain</w:t>
            </w:r>
            <w:r w:rsidR="00DA6D3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313128">
              <w:rPr>
                <w:rFonts w:eastAsia="Times New Roman"/>
                <w:sz w:val="20"/>
                <w:szCs w:val="20"/>
                <w:lang w:val="en-US"/>
              </w:rPr>
              <w:t xml:space="preserve"> intracranial tumo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rs </w:t>
            </w:r>
            <w:r w:rsidR="00DA6D3A">
              <w:rPr>
                <w:rFonts w:eastAsia="Times New Roman"/>
                <w:sz w:val="20"/>
                <w:szCs w:val="20"/>
                <w:lang w:val="en-US"/>
              </w:rPr>
              <w:t xml:space="preserve">and degenerative disease of the spine. </w:t>
            </w:r>
          </w:p>
          <w:p w:rsidR="00376B24" w:rsidRPr="00FE7D9B" w:rsidRDefault="00DA6D3A" w:rsidP="007A6DD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Student should be able to examine </w:t>
            </w:r>
            <w:r w:rsidR="007A6DDE">
              <w:rPr>
                <w:rFonts w:eastAsia="Times New Roman"/>
                <w:sz w:val="20"/>
                <w:szCs w:val="20"/>
                <w:lang w:val="en-US"/>
              </w:rPr>
              <w:t xml:space="preserve">and estimate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the patient with life </w:t>
            </w:r>
            <w:r w:rsidR="007A6DDE">
              <w:rPr>
                <w:rFonts w:eastAsia="Times New Roman"/>
                <w:sz w:val="20"/>
                <w:szCs w:val="20"/>
                <w:lang w:val="en-US"/>
              </w:rPr>
              <w:t>threatening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pathologies, especially </w:t>
            </w:r>
            <w:r w:rsidR="007A6DDE">
              <w:rPr>
                <w:rFonts w:eastAsia="Times New Roman"/>
                <w:sz w:val="20"/>
                <w:szCs w:val="20"/>
                <w:lang w:val="en-US"/>
              </w:rPr>
              <w:t>one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 with increased intracranial pressure </w:t>
            </w:r>
            <w:r w:rsidR="007A6DDE">
              <w:rPr>
                <w:rFonts w:eastAsia="Times New Roman"/>
                <w:sz w:val="20"/>
                <w:szCs w:val="20"/>
                <w:lang w:val="en-US"/>
              </w:rPr>
              <w:t xml:space="preserve">and disturbed consciousness 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and also should </w:t>
            </w:r>
            <w:r w:rsidR="007A6DDE">
              <w:rPr>
                <w:rFonts w:eastAsia="Times New Roman"/>
                <w:sz w:val="20"/>
                <w:szCs w:val="20"/>
                <w:lang w:val="en-US"/>
              </w:rPr>
              <w:t xml:space="preserve">learn to 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plan diagnostic procedures (also radiographic)  and to interpret their results and establish diagnose to start treatment. Course participants should </w:t>
            </w:r>
            <w:r w:rsidR="007A6DDE">
              <w:rPr>
                <w:rFonts w:eastAsia="Times New Roman"/>
                <w:sz w:val="20"/>
                <w:szCs w:val="20"/>
                <w:lang w:val="en-US"/>
              </w:rPr>
              <w:t>acquire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 knowledge </w:t>
            </w:r>
            <w:r w:rsidR="007A6DDE">
              <w:rPr>
                <w:rFonts w:eastAsia="Times New Roman"/>
                <w:sz w:val="20"/>
                <w:szCs w:val="20"/>
                <w:lang w:val="en-US"/>
              </w:rPr>
              <w:t xml:space="preserve">enough </w:t>
            </w:r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to perform basic procedures in </w:t>
            </w:r>
            <w:proofErr w:type="spellStart"/>
            <w:r w:rsidR="002E0572">
              <w:rPr>
                <w:rFonts w:eastAsia="Times New Roman"/>
                <w:sz w:val="20"/>
                <w:szCs w:val="20"/>
                <w:lang w:val="en-US"/>
              </w:rPr>
              <w:t>neurointensive</w:t>
            </w:r>
            <w:proofErr w:type="spellEnd"/>
            <w:r w:rsidR="002E0572">
              <w:rPr>
                <w:rFonts w:eastAsia="Times New Roman"/>
                <w:sz w:val="20"/>
                <w:szCs w:val="20"/>
                <w:lang w:val="en-US"/>
              </w:rPr>
              <w:t xml:space="preserve"> care.  </w:t>
            </w:r>
          </w:p>
        </w:tc>
      </w:tr>
    </w:tbl>
    <w:p w:rsidR="00376B24" w:rsidRPr="00FE7D9B" w:rsidRDefault="00376B24" w:rsidP="00376B24">
      <w:pPr>
        <w:rPr>
          <w:sz w:val="20"/>
          <w:szCs w:val="20"/>
          <w:lang w:val="en-US"/>
        </w:rPr>
      </w:pPr>
    </w:p>
    <w:p w:rsidR="00376B24" w:rsidRPr="00FE7D9B" w:rsidRDefault="00376B24" w:rsidP="00376B24">
      <w:pPr>
        <w:rPr>
          <w:sz w:val="20"/>
          <w:szCs w:val="20"/>
          <w:lang w:val="en-US"/>
        </w:rPr>
      </w:pPr>
    </w:p>
    <w:tbl>
      <w:tblPr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9"/>
        <w:gridCol w:w="6238"/>
        <w:gridCol w:w="2538"/>
      </w:tblGrid>
      <w:tr w:rsidR="00376B24" w:rsidRPr="000532AD" w:rsidTr="00A67C66">
        <w:trPr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Symbol</w:t>
            </w:r>
            <w:r w:rsidRPr="00313128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of</w:t>
            </w:r>
            <w:r w:rsidR="00334968" w:rsidRPr="00FE7D9B">
              <w:rPr>
                <w:sz w:val="20"/>
                <w:szCs w:val="20"/>
                <w:lang w:val="en-US"/>
              </w:rPr>
              <w:t xml:space="preserve"> </w:t>
            </w:r>
            <w:r w:rsidR="00334968"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education outcomes</w:t>
            </w: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 in accordance</w:t>
            </w:r>
            <w:r w:rsidRPr="00313128">
              <w:rPr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with the standards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FE7D9B" w:rsidRDefault="00FE7D9B" w:rsidP="009A12D2">
            <w:pPr>
              <w:jc w:val="center"/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D</w:t>
            </w:r>
            <w:r w:rsidR="009A12D2"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escription</w:t>
            </w:r>
            <w:r w:rsidR="009A12D2" w:rsidRPr="00313128">
              <w:rPr>
                <w:rStyle w:val="shorttext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="009A12D2"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of </w:t>
            </w:r>
            <w:r w:rsidR="00B2626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dire</w:t>
            </w:r>
            <w:r w:rsidR="009A12D2" w:rsidRPr="00714ED5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ctional</w:t>
            </w:r>
            <w:r w:rsidR="009A12D2" w:rsidRPr="00313128">
              <w:rPr>
                <w:rStyle w:val="shorttext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="009A12D2"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effects of education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B24" w:rsidRPr="00FE7D9B" w:rsidRDefault="009A12D2" w:rsidP="009A12D2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FE7D9B">
              <w:rPr>
                <w:b/>
                <w:color w:val="000000" w:themeColor="text1"/>
                <w:sz w:val="20"/>
                <w:szCs w:val="20"/>
                <w:lang w:val="en-US"/>
              </w:rPr>
              <w:t>Meth</w:t>
            </w:r>
            <w:r w:rsidR="0073312E">
              <w:rPr>
                <w:b/>
                <w:color w:val="000000" w:themeColor="text1"/>
                <w:sz w:val="20"/>
                <w:szCs w:val="20"/>
                <w:lang w:val="en-US"/>
              </w:rPr>
              <w:t>ods of verification of achieved</w:t>
            </w:r>
            <w:r w:rsidRPr="00FE7D9B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learning outcomes</w:t>
            </w:r>
          </w:p>
        </w:tc>
      </w:tr>
      <w:tr w:rsidR="00376B24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D9B">
              <w:rPr>
                <w:b/>
                <w:sz w:val="20"/>
                <w:szCs w:val="20"/>
                <w:lang w:val="en-US"/>
              </w:rPr>
              <w:t xml:space="preserve">Knowledge (according to the detailed </w:t>
            </w:r>
            <w:r w:rsidR="00334968" w:rsidRPr="00FE7D9B">
              <w:rPr>
                <w:b/>
                <w:sz w:val="20"/>
                <w:szCs w:val="20"/>
                <w:lang w:val="en-US"/>
              </w:rPr>
              <w:t>education</w:t>
            </w:r>
            <w:r w:rsidRPr="00FE7D9B">
              <w:rPr>
                <w:b/>
                <w:sz w:val="20"/>
                <w:szCs w:val="20"/>
                <w:lang w:val="en-US"/>
              </w:rPr>
              <w:t xml:space="preserve"> outcomes)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Knows and understand</w:t>
            </w:r>
            <w:r w:rsidR="00864975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pathology, signs, rules of diagnostic process and treatment process in CN</w:t>
            </w:r>
            <w:r w:rsidR="00714ED5">
              <w:rPr>
                <w:sz w:val="20"/>
                <w:szCs w:val="20"/>
                <w:lang w:val="en-US"/>
              </w:rPr>
              <w:t xml:space="preserve">S diseases and </w:t>
            </w:r>
            <w:proofErr w:type="spellStart"/>
            <w:r w:rsidR="00714ED5">
              <w:rPr>
                <w:sz w:val="20"/>
                <w:szCs w:val="20"/>
                <w:lang w:val="en-US"/>
              </w:rPr>
              <w:t>neurotrauma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67C66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Exercises and Seminaries – based on active participation in discussion.</w:t>
            </w:r>
          </w:p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Knows selected </w:t>
            </w:r>
            <w:proofErr w:type="spellStart"/>
            <w:r>
              <w:rPr>
                <w:sz w:val="20"/>
                <w:szCs w:val="20"/>
                <w:lang w:val="en-US"/>
              </w:rPr>
              <w:t>neurotrauma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neurosurgical issues 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 w:rsidP="007024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Knows how to qualify and proceed basic invasive neurosurgical diagnostic/therapeutic tests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Knows possible complications of basic invasive neurosurgical diagnostic/therapeutic tests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A55E1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W5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Knows perioperative safety procedures 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 w:rsidP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Knows pain treatment and basic </w:t>
            </w:r>
            <w:proofErr w:type="spellStart"/>
            <w:r>
              <w:rPr>
                <w:sz w:val="20"/>
                <w:szCs w:val="20"/>
                <w:lang w:val="en-US"/>
              </w:rPr>
              <w:t>neuromonitoring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pre and post- operative  period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Pr="00FE7D9B" w:rsidRDefault="00A67C66" w:rsidP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Knows procedure of </w:t>
            </w:r>
            <w:proofErr w:type="spellStart"/>
            <w:r>
              <w:rPr>
                <w:sz w:val="20"/>
                <w:szCs w:val="20"/>
                <w:lang w:val="en-US"/>
              </w:rPr>
              <w:t>neurointensive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care 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532AD" w:rsidTr="00ED2BE9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W11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Default="00A67C66" w:rsidP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Knows present</w:t>
            </w:r>
            <w:r w:rsidR="00714ED5">
              <w:rPr>
                <w:sz w:val="20"/>
                <w:szCs w:val="20"/>
                <w:lang w:val="en-US"/>
              </w:rPr>
              <w:t>ly used neuroimaging modalities,</w:t>
            </w:r>
            <w:r>
              <w:rPr>
                <w:sz w:val="20"/>
                <w:szCs w:val="20"/>
                <w:lang w:val="en-US"/>
              </w:rPr>
              <w:t xml:space="preserve"> symptoms of selected CNS pathologies, </w:t>
            </w:r>
            <w:r w:rsidR="00864975">
              <w:rPr>
                <w:sz w:val="20"/>
                <w:szCs w:val="20"/>
                <w:lang w:val="en-US"/>
              </w:rPr>
              <w:t xml:space="preserve">techniques used for </w:t>
            </w:r>
            <w:r w:rsidR="00714ED5">
              <w:rPr>
                <w:sz w:val="20"/>
                <w:szCs w:val="20"/>
                <w:lang w:val="en-US"/>
              </w:rPr>
              <w:t>pre/</w:t>
            </w:r>
            <w:r w:rsidR="00864975">
              <w:rPr>
                <w:sz w:val="20"/>
                <w:szCs w:val="20"/>
                <w:lang w:val="en-US"/>
              </w:rPr>
              <w:t>intraoperative imaging, indications and contraindications for those tests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A67C66" w:rsidRPr="000532AD" w:rsidTr="00ED2BE9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Default="00A67C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W14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C66" w:rsidRDefault="00864975" w:rsidP="00A67C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Knows and understands pathology, signs, diagnostic tests and treatment of the most frequent CNS pathologies: brain edema, increased intracranial pressure, head trauma, vascular malformations of CNS, CNS </w:t>
            </w:r>
            <w:proofErr w:type="spellStart"/>
            <w:r>
              <w:rPr>
                <w:sz w:val="20"/>
                <w:szCs w:val="20"/>
                <w:lang w:val="en-US"/>
              </w:rPr>
              <w:t>tumours</w:t>
            </w:r>
            <w:proofErr w:type="spellEnd"/>
            <w:r>
              <w:rPr>
                <w:sz w:val="20"/>
                <w:szCs w:val="20"/>
                <w:lang w:val="en-US"/>
              </w:rPr>
              <w:t>, spine and spinal cord diseases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7C66" w:rsidRPr="00FE7D9B" w:rsidRDefault="00A67C66">
            <w:pPr>
              <w:rPr>
                <w:sz w:val="20"/>
                <w:szCs w:val="20"/>
                <w:lang w:val="en-US"/>
              </w:rPr>
            </w:pPr>
          </w:p>
        </w:tc>
      </w:tr>
      <w:tr w:rsidR="00864975" w:rsidRPr="000532AD" w:rsidTr="00ED2BE9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975" w:rsidRDefault="008649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W16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975" w:rsidRDefault="00864975" w:rsidP="008649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Knows how to recognize brain death</w:t>
            </w:r>
          </w:p>
        </w:tc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4975" w:rsidRPr="00FE7D9B" w:rsidRDefault="00864975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9A12D2" w:rsidP="009B0A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D9B">
              <w:rPr>
                <w:b/>
                <w:sz w:val="20"/>
                <w:szCs w:val="20"/>
                <w:lang w:val="en-US"/>
              </w:rPr>
              <w:t>Skills</w:t>
            </w:r>
            <w:r w:rsidR="00376B24" w:rsidRPr="00FE7D9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7D9B">
              <w:rPr>
                <w:b/>
                <w:sz w:val="20"/>
                <w:szCs w:val="20"/>
                <w:lang w:val="en-US"/>
              </w:rPr>
              <w:t xml:space="preserve">(according to the detailed </w:t>
            </w:r>
            <w:r w:rsidR="009B0AA1" w:rsidRPr="00FE7D9B">
              <w:rPr>
                <w:b/>
                <w:sz w:val="20"/>
                <w:szCs w:val="20"/>
                <w:lang w:val="en-US"/>
              </w:rPr>
              <w:t>education</w:t>
            </w:r>
            <w:r w:rsidRPr="00FE7D9B">
              <w:rPr>
                <w:b/>
                <w:sz w:val="20"/>
                <w:szCs w:val="20"/>
                <w:lang w:val="en-US"/>
              </w:rPr>
              <w:t xml:space="preserve"> outcomes)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B109E4" w:rsidRPr="000532AD" w:rsidTr="00C81BDB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Knows aseptic and antiseptic procedures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109E4" w:rsidRPr="00FE7D9B" w:rsidRDefault="00E050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Assistance in diagnostic/therapeutic procedures</w:t>
            </w:r>
          </w:p>
        </w:tc>
      </w:tr>
      <w:tr w:rsidR="00B109E4" w:rsidRPr="000532AD" w:rsidTr="00C81BDB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able to treat simple wound and apply proper dressing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</w:p>
        </w:tc>
      </w:tr>
      <w:tr w:rsidR="00B109E4" w:rsidRPr="000532AD" w:rsidTr="00C81BDB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U7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able to recognize fractures of the skull and spine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</w:p>
        </w:tc>
      </w:tr>
      <w:tr w:rsidR="00B109E4" w:rsidRPr="000532AD" w:rsidTr="00C81BDB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U9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able to stop external bleeding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</w:p>
        </w:tc>
      </w:tr>
      <w:tr w:rsidR="00B109E4" w:rsidRPr="000532AD" w:rsidTr="00C81BDB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U12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 w:rsidP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able to interpret basic monitor parameters in postoperative period  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</w:p>
        </w:tc>
      </w:tr>
      <w:tr w:rsidR="00B109E4" w:rsidRPr="000532AD" w:rsidTr="00C81BDB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U20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 able to assess the patient according to international scales 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</w:p>
        </w:tc>
      </w:tr>
      <w:tr w:rsidR="00B109E4" w:rsidRPr="000532AD" w:rsidTr="00C81BDB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Default="00B109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U21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9E4" w:rsidRPr="00FE7D9B" w:rsidRDefault="00E050B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Recognizes signs </w:t>
            </w:r>
            <w:r w:rsidR="00714ED5">
              <w:rPr>
                <w:sz w:val="20"/>
                <w:szCs w:val="20"/>
                <w:lang w:val="en-US"/>
              </w:rPr>
              <w:t xml:space="preserve">&amp; symptoms </w:t>
            </w:r>
            <w:r>
              <w:rPr>
                <w:sz w:val="20"/>
                <w:szCs w:val="20"/>
                <w:lang w:val="en-US"/>
              </w:rPr>
              <w:t xml:space="preserve">of elevated intracranial pressure </w:t>
            </w:r>
          </w:p>
        </w:tc>
        <w:tc>
          <w:tcPr>
            <w:tcW w:w="25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9E4" w:rsidRPr="00FE7D9B" w:rsidRDefault="00B109E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3128">
              <w:rPr>
                <w:b/>
                <w:color w:val="000000" w:themeColor="text1"/>
                <w:sz w:val="20"/>
                <w:szCs w:val="20"/>
                <w:lang w:val="en-US"/>
              </w:rPr>
              <w:t>So</w:t>
            </w:r>
            <w:r w:rsidRPr="00313128">
              <w:rPr>
                <w:rStyle w:val="hps"/>
                <w:b/>
                <w:color w:val="000000" w:themeColor="text1"/>
                <w:sz w:val="20"/>
                <w:szCs w:val="20"/>
                <w:lang w:val="en-US"/>
              </w:rPr>
              <w:t>cial competence</w:t>
            </w:r>
            <w:r w:rsidRPr="003131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b/>
                <w:color w:val="000000" w:themeColor="text1"/>
                <w:sz w:val="20"/>
                <w:szCs w:val="20"/>
                <w:lang w:val="en-US"/>
              </w:rPr>
              <w:t>(</w:t>
            </w:r>
            <w:r w:rsidRPr="00313128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according to the general </w:t>
            </w:r>
            <w:r w:rsidR="00334968" w:rsidRPr="00313128">
              <w:rPr>
                <w:b/>
                <w:color w:val="000000" w:themeColor="text1"/>
                <w:sz w:val="20"/>
                <w:szCs w:val="20"/>
                <w:lang w:val="en-US"/>
              </w:rPr>
              <w:t>education</w:t>
            </w:r>
            <w:r w:rsidRPr="00313128">
              <w:rPr>
                <w:rStyle w:val="hps"/>
                <w:b/>
                <w:color w:val="000000" w:themeColor="text1"/>
                <w:sz w:val="20"/>
                <w:szCs w:val="20"/>
                <w:lang w:val="en-US"/>
              </w:rPr>
              <w:t xml:space="preserve"> outcomes</w:t>
            </w:r>
            <w:r w:rsidR="002D6AD9"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376B24">
            <w:pPr>
              <w:rPr>
                <w:sz w:val="20"/>
                <w:szCs w:val="20"/>
              </w:rPr>
            </w:pPr>
            <w:r w:rsidRPr="00FE7D9B">
              <w:rPr>
                <w:sz w:val="20"/>
                <w:szCs w:val="20"/>
              </w:rPr>
              <w:t>K1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7413A7" w:rsidP="00085370">
            <w:pPr>
              <w:rPr>
                <w:sz w:val="20"/>
                <w:szCs w:val="20"/>
                <w:lang w:val="en-US"/>
              </w:rPr>
            </w:pPr>
            <w:r w:rsidRPr="00FE7D9B">
              <w:rPr>
                <w:sz w:val="20"/>
                <w:szCs w:val="20"/>
                <w:lang w:val="en-US"/>
              </w:rPr>
              <w:t xml:space="preserve">He /She recognizes </w:t>
            </w:r>
            <w:r w:rsidR="00FE7D9B">
              <w:rPr>
                <w:sz w:val="20"/>
                <w:szCs w:val="20"/>
                <w:lang w:val="en-US"/>
              </w:rPr>
              <w:t xml:space="preserve">his/her own </w:t>
            </w:r>
            <w:r w:rsidRPr="00FE7D9B">
              <w:rPr>
                <w:sz w:val="20"/>
                <w:szCs w:val="20"/>
                <w:lang w:val="en-US"/>
              </w:rPr>
              <w:t xml:space="preserve"> diagnostic and therapeutic limitations,  educational needs, planning of educational activity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B24" w:rsidRPr="00FE7D9B" w:rsidRDefault="00F935DE">
            <w:pPr>
              <w:rPr>
                <w:b/>
                <w:sz w:val="20"/>
                <w:szCs w:val="20"/>
                <w:lang w:val="en-US"/>
              </w:rPr>
            </w:pP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Continuous assessment</w:t>
            </w:r>
            <w:r w:rsidRPr="00313128">
              <w:rPr>
                <w:rStyle w:val="shorttext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by the teacher</w:t>
            </w:r>
          </w:p>
        </w:tc>
      </w:tr>
      <w:tr w:rsidR="00376B24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376B24">
            <w:pPr>
              <w:rPr>
                <w:sz w:val="20"/>
                <w:szCs w:val="20"/>
              </w:rPr>
            </w:pPr>
            <w:r w:rsidRPr="00FE7D9B">
              <w:rPr>
                <w:sz w:val="20"/>
                <w:szCs w:val="20"/>
              </w:rPr>
              <w:t>K2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F935DE" w:rsidP="007413A7">
            <w:pPr>
              <w:rPr>
                <w:sz w:val="20"/>
                <w:szCs w:val="20"/>
                <w:lang w:val="en-US"/>
              </w:rPr>
            </w:pPr>
            <w:r w:rsidRPr="00FE7D9B">
              <w:rPr>
                <w:sz w:val="20"/>
                <w:szCs w:val="20"/>
                <w:lang w:val="en-US"/>
              </w:rPr>
              <w:t xml:space="preserve">He /She </w:t>
            </w:r>
            <w:r w:rsidR="007413A7" w:rsidRPr="00FE7D9B">
              <w:rPr>
                <w:sz w:val="20"/>
                <w:szCs w:val="20"/>
                <w:lang w:val="en-US"/>
              </w:rPr>
              <w:t>is able to</w:t>
            </w:r>
            <w:r w:rsidRPr="00FE7D9B">
              <w:rPr>
                <w:sz w:val="20"/>
                <w:szCs w:val="20"/>
                <w:lang w:val="en-US"/>
              </w:rPr>
              <w:t xml:space="preserve"> work in a team of professionals, in a multicultural and multinational</w:t>
            </w:r>
            <w:r w:rsidR="007413A7" w:rsidRPr="00FE7D9B">
              <w:rPr>
                <w:sz w:val="20"/>
                <w:szCs w:val="20"/>
                <w:lang w:val="en-US"/>
              </w:rPr>
              <w:t xml:space="preserve"> environment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376B24">
            <w:pPr>
              <w:rPr>
                <w:sz w:val="20"/>
                <w:szCs w:val="20"/>
              </w:rPr>
            </w:pPr>
            <w:r w:rsidRPr="00FE7D9B">
              <w:rPr>
                <w:sz w:val="20"/>
                <w:szCs w:val="20"/>
              </w:rPr>
              <w:t>K3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7413A7" w:rsidP="00567EB4">
            <w:pPr>
              <w:rPr>
                <w:sz w:val="20"/>
                <w:szCs w:val="20"/>
                <w:lang w:val="en-US"/>
              </w:rPr>
            </w:pPr>
            <w:r w:rsidRPr="00FE7D9B">
              <w:rPr>
                <w:sz w:val="20"/>
                <w:szCs w:val="20"/>
                <w:lang w:val="en-US"/>
              </w:rPr>
              <w:t xml:space="preserve">He /She </w:t>
            </w:r>
            <w:r w:rsidR="00567EB4" w:rsidRPr="00FE7D9B">
              <w:rPr>
                <w:sz w:val="20"/>
                <w:szCs w:val="20"/>
                <w:lang w:val="en-US"/>
              </w:rPr>
              <w:t>i</w:t>
            </w:r>
            <w:r w:rsidR="00F935DE" w:rsidRPr="00FE7D9B">
              <w:rPr>
                <w:sz w:val="20"/>
                <w:szCs w:val="20"/>
                <w:lang w:val="en-US"/>
              </w:rPr>
              <w:t xml:space="preserve">mplements the principles of professional camaraderie and cooperation with </w:t>
            </w:r>
            <w:r w:rsidR="00F935DE" w:rsidRPr="00FE7D9B">
              <w:rPr>
                <w:rStyle w:val="hps"/>
                <w:color w:val="333333"/>
                <w:sz w:val="20"/>
                <w:szCs w:val="20"/>
                <w:lang w:val="en-US"/>
              </w:rPr>
              <w:t>representatives</w:t>
            </w:r>
            <w:r w:rsidR="00F935DE" w:rsidRPr="00FE7D9B">
              <w:rPr>
                <w:sz w:val="20"/>
                <w:szCs w:val="20"/>
                <w:lang w:val="en-US"/>
              </w:rPr>
              <w:t xml:space="preserve"> of other professionals in the range of health care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0532AD" w:rsidTr="00A67C66">
        <w:trPr>
          <w:jc w:val="center"/>
        </w:trPr>
        <w:tc>
          <w:tcPr>
            <w:tcW w:w="1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376B24">
            <w:pPr>
              <w:rPr>
                <w:sz w:val="20"/>
                <w:szCs w:val="20"/>
              </w:rPr>
            </w:pPr>
            <w:r w:rsidRPr="00FE7D9B">
              <w:rPr>
                <w:sz w:val="20"/>
                <w:szCs w:val="20"/>
              </w:rPr>
              <w:t>K4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76B24" w:rsidRPr="00FE7D9B" w:rsidRDefault="00FB13A8" w:rsidP="00567EB4">
            <w:pPr>
              <w:rPr>
                <w:sz w:val="20"/>
                <w:szCs w:val="20"/>
                <w:lang w:val="en-US"/>
              </w:rPr>
            </w:pPr>
            <w:r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 xml:space="preserve">He /She </w:t>
            </w:r>
            <w:r w:rsidR="00567EB4"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o</w:t>
            </w:r>
            <w:r w:rsidR="00F935DE"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bserve</w:t>
            </w:r>
            <w:r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s</w:t>
            </w:r>
            <w:r w:rsidR="00F935DE" w:rsidRPr="00313128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>doctor-patient privilege;</w:t>
            </w:r>
            <w:r w:rsidR="00F935DE" w:rsidRPr="00313128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="00F935DE"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and</w:t>
            </w:r>
            <w:r w:rsidR="00F935DE" w:rsidRPr="00313128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="00F935DE"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patient rights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76B24" w:rsidRPr="00FE7D9B" w:rsidRDefault="00376B24" w:rsidP="00376B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p w:rsidR="00376B24" w:rsidRPr="00FE7D9B" w:rsidRDefault="00376B24" w:rsidP="00376B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376B24" w:rsidRPr="00FE7D9B" w:rsidTr="00376B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</w:rPr>
              <w:t>ECTS</w:t>
            </w:r>
            <w:r w:rsidR="00F935DE" w:rsidRPr="00FE7D9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935DE" w:rsidRPr="00FE7D9B">
              <w:rPr>
                <w:rFonts w:eastAsia="Times New Roman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76B24" w:rsidRPr="00FE7D9B" w:rsidTr="00376B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FE7D9B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</w:rPr>
              <w:t xml:space="preserve">Student </w:t>
            </w: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Workload</w:t>
            </w:r>
          </w:p>
        </w:tc>
      </w:tr>
      <w:tr w:rsidR="00376B24" w:rsidRPr="000532AD" w:rsidTr="00F935DE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F935DE" w:rsidP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Form of Activity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Number of hours to complete the activity</w:t>
            </w:r>
          </w:p>
        </w:tc>
      </w:tr>
      <w:tr w:rsidR="00376B24" w:rsidRPr="000532AD" w:rsidTr="00376B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76B24" w:rsidRPr="00FE7D9B" w:rsidRDefault="00F935DE" w:rsidP="00567E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Activities that require the participation of </w:t>
            </w:r>
            <w:r w:rsidR="00567EB4" w:rsidRPr="00FE7D9B">
              <w:rPr>
                <w:rFonts w:eastAsiaTheme="minorHAnsi"/>
                <w:b/>
                <w:sz w:val="20"/>
                <w:szCs w:val="20"/>
                <w:lang w:val="en-US" w:eastAsia="en-US"/>
              </w:rPr>
              <w:t>(academic) teacher</w:t>
            </w:r>
          </w:p>
        </w:tc>
      </w:tr>
      <w:tr w:rsidR="00376B24" w:rsidRPr="000A55E1" w:rsidTr="00F935DE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FB13A8" w:rsidP="00F935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935DE" w:rsidRPr="00FE7D9B">
              <w:rPr>
                <w:rFonts w:eastAsia="Times New Roman"/>
                <w:sz w:val="20"/>
                <w:szCs w:val="20"/>
                <w:lang w:val="en-US"/>
              </w:rPr>
              <w:t>of the course: lecture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E050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376B24" w:rsidRPr="000A55E1" w:rsidTr="00F935DE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FB13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935DE" w:rsidRPr="00FE7D9B">
              <w:rPr>
                <w:rFonts w:eastAsia="Times New Roman"/>
                <w:sz w:val="20"/>
                <w:szCs w:val="20"/>
                <w:lang w:val="en-US"/>
              </w:rPr>
              <w:t>on of the course: seminar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E050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376B24" w:rsidRPr="000A55E1" w:rsidTr="00F935DE">
        <w:trPr>
          <w:trHeight w:val="23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FB13A8" w:rsidP="00FB13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="00F935DE" w:rsidRPr="00FE7D9B">
              <w:rPr>
                <w:rFonts w:eastAsia="Times New Roman"/>
                <w:sz w:val="20"/>
                <w:szCs w:val="20"/>
                <w:lang w:val="en-US"/>
              </w:rPr>
              <w:t xml:space="preserve"> of the course: </w:t>
            </w:r>
            <w:r w:rsidRPr="00FE7D9B"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E050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</w:tr>
      <w:tr w:rsidR="00376B24" w:rsidRPr="00FE7D9B" w:rsidTr="00F935DE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F935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E050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376B24" w:rsidRPr="00FE7D9B" w:rsidTr="00F935DE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F935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E050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376B24" w:rsidRPr="00FE7D9B" w:rsidTr="00376B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F935DE" w:rsidRPr="00FE7D9B">
              <w:rPr>
                <w:rFonts w:eastAsia="Times New Roman"/>
                <w:sz w:val="20"/>
                <w:szCs w:val="20"/>
                <w:lang w:val="en-US"/>
              </w:rPr>
              <w:t>total of hours</w:t>
            </w: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      </w:t>
            </w:r>
            <w:r w:rsidR="00E050B6">
              <w:rPr>
                <w:rFonts w:eastAsia="Times New Roman"/>
                <w:sz w:val="20"/>
                <w:szCs w:val="20"/>
                <w:lang w:val="en-US"/>
              </w:rPr>
              <w:t xml:space="preserve">      45</w:t>
            </w:r>
          </w:p>
        </w:tc>
      </w:tr>
      <w:tr w:rsidR="00376B24" w:rsidRPr="00FE7D9B" w:rsidTr="00376B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76B24" w:rsidRPr="00FE7D9B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>Self-study</w:t>
            </w:r>
            <w:proofErr w:type="spellEnd"/>
            <w:r w:rsidR="00376B24" w:rsidRPr="00FE7D9B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376B24" w:rsidRPr="00FE7D9B" w:rsidTr="00CB54BB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FB13A8" w:rsidP="00FB13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FE7D9B">
              <w:rPr>
                <w:rStyle w:val="hps"/>
                <w:color w:val="333333"/>
                <w:sz w:val="20"/>
                <w:szCs w:val="20"/>
              </w:rPr>
              <w:t>Preparation</w:t>
            </w:r>
            <w:proofErr w:type="spellEnd"/>
            <w:r w:rsidRPr="00FE7D9B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r w:rsidR="00CB54BB" w:rsidRPr="00FE7D9B">
              <w:rPr>
                <w:rStyle w:val="hps"/>
                <w:color w:val="333333"/>
                <w:sz w:val="20"/>
                <w:szCs w:val="20"/>
              </w:rPr>
              <w:t xml:space="preserve">for </w:t>
            </w:r>
            <w:proofErr w:type="spellStart"/>
            <w:r w:rsidR="00CB54BB" w:rsidRPr="00FE7D9B">
              <w:rPr>
                <w:rStyle w:val="hps"/>
                <w:color w:val="333333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FE7D9B" w:rsidTr="00CB54BB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FB13A8" w:rsidP="00567E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FE7D9B">
              <w:rPr>
                <w:rStyle w:val="hps"/>
                <w:color w:val="333333"/>
                <w:sz w:val="20"/>
                <w:szCs w:val="20"/>
              </w:rPr>
              <w:t>Preparation</w:t>
            </w:r>
            <w:proofErr w:type="spellEnd"/>
            <w:r w:rsidRPr="00FE7D9B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r w:rsidR="00CB54BB" w:rsidRPr="00FE7D9B">
              <w:rPr>
                <w:rStyle w:val="hps"/>
                <w:color w:val="333333"/>
                <w:sz w:val="20"/>
                <w:szCs w:val="20"/>
              </w:rPr>
              <w:t>for</w:t>
            </w:r>
            <w:r w:rsidR="00567EB4" w:rsidRPr="00FE7D9B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CB54BB" w:rsidRPr="00FE7D9B">
              <w:rPr>
                <w:color w:val="333333"/>
                <w:sz w:val="20"/>
                <w:szCs w:val="20"/>
              </w:rPr>
              <w:t>credit</w:t>
            </w:r>
            <w:r w:rsidR="00567EB4" w:rsidRPr="00FE7D9B">
              <w:rPr>
                <w:color w:val="333333"/>
                <w:sz w:val="20"/>
                <w:szCs w:val="20"/>
              </w:rPr>
              <w:t>s</w:t>
            </w:r>
            <w:proofErr w:type="spellEnd"/>
            <w:r w:rsidR="00CB54BB" w:rsidRPr="00FE7D9B">
              <w:rPr>
                <w:color w:val="333333"/>
                <w:sz w:val="20"/>
                <w:szCs w:val="20"/>
              </w:rPr>
              <w:t xml:space="preserve">  </w:t>
            </w:r>
            <w:r w:rsidR="00CB54BB" w:rsidRPr="00FE7D9B">
              <w:rPr>
                <w:rStyle w:val="hps"/>
                <w:color w:val="333333"/>
                <w:sz w:val="20"/>
                <w:szCs w:val="20"/>
              </w:rPr>
              <w:t>/</w:t>
            </w:r>
            <w:r w:rsidR="00CB54BB" w:rsidRPr="00FE7D9B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CB54BB" w:rsidRPr="00FE7D9B">
              <w:rPr>
                <w:rStyle w:val="hps"/>
                <w:color w:val="333333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0532AD" w:rsidTr="00CB54BB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CB54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Preparation</w:t>
            </w:r>
            <w:r w:rsidRPr="00313128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for the exam</w:t>
            </w:r>
            <w:r w:rsidRPr="00313128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/</w:t>
            </w:r>
            <w:r w:rsidRPr="00313128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final</w:t>
            </w:r>
            <w:r w:rsidRPr="00313128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 w:rsidR="00FB13A8" w:rsidRPr="00313128">
              <w:rPr>
                <w:rStyle w:val="hps"/>
                <w:color w:val="333333"/>
                <w:sz w:val="20"/>
                <w:szCs w:val="20"/>
                <w:lang w:val="en-US"/>
              </w:rPr>
              <w:t>test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FE7D9B" w:rsidTr="00376B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76B24" w:rsidRPr="00FE7D9B" w:rsidRDefault="00376B2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6B24" w:rsidRPr="00FE7D9B" w:rsidRDefault="00CB54B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 total of hours       </w:t>
            </w:r>
          </w:p>
        </w:tc>
      </w:tr>
    </w:tbl>
    <w:p w:rsidR="00376B24" w:rsidRPr="00FE7D9B" w:rsidRDefault="00376B24" w:rsidP="00376B24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76B24" w:rsidRPr="00FE7D9B" w:rsidRDefault="00376B24" w:rsidP="00376B24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376B24" w:rsidRPr="00FE7D9B" w:rsidTr="00376B24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6B24" w:rsidRPr="00FE7D9B" w:rsidRDefault="00376B2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B54BB" w:rsidRPr="00FE7D9B">
              <w:rPr>
                <w:rStyle w:val="hps"/>
                <w:b/>
                <w:color w:val="333333"/>
                <w:sz w:val="20"/>
                <w:szCs w:val="20"/>
              </w:rPr>
              <w:t xml:space="preserve">Course </w:t>
            </w:r>
            <w:proofErr w:type="spellStart"/>
            <w:r w:rsidR="00CB54BB" w:rsidRPr="00FE7D9B">
              <w:rPr>
                <w:rStyle w:val="hps"/>
                <w:b/>
                <w:color w:val="333333"/>
                <w:sz w:val="20"/>
                <w:szCs w:val="20"/>
              </w:rPr>
              <w:t>contents</w:t>
            </w:r>
            <w:proofErr w:type="spellEnd"/>
          </w:p>
        </w:tc>
      </w:tr>
      <w:tr w:rsidR="00376B24" w:rsidRPr="00FE7D9B" w:rsidTr="00376B24">
        <w:trPr>
          <w:trHeight w:val="33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B24" w:rsidRPr="00FE7D9B" w:rsidRDefault="00FE7D9B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Style w:val="hps"/>
                <w:b/>
                <w:color w:val="333333"/>
                <w:sz w:val="20"/>
                <w:szCs w:val="20"/>
              </w:rPr>
              <w:t>T</w:t>
            </w:r>
            <w:r w:rsidR="00CB54BB" w:rsidRPr="00FE7D9B">
              <w:rPr>
                <w:rStyle w:val="hps"/>
                <w:b/>
                <w:color w:val="333333"/>
                <w:sz w:val="20"/>
                <w:szCs w:val="20"/>
              </w:rPr>
              <w:t>opics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6B24" w:rsidRPr="00FE7D9B" w:rsidRDefault="00376B24" w:rsidP="00CB54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</w:rPr>
              <w:t>Form</w:t>
            </w:r>
            <w:r w:rsidRPr="00FE7D9B">
              <w:rPr>
                <w:rFonts w:eastAsia="Times New Roman"/>
                <w:sz w:val="20"/>
                <w:szCs w:val="20"/>
              </w:rPr>
              <w:t xml:space="preserve"> </w:t>
            </w:r>
            <w:r w:rsidRPr="00FE7D9B">
              <w:rPr>
                <w:rFonts w:eastAsia="Times New Roman"/>
                <w:i/>
                <w:sz w:val="20"/>
                <w:szCs w:val="20"/>
              </w:rPr>
              <w:t>(</w:t>
            </w:r>
            <w:r w:rsidR="00CB54BB" w:rsidRPr="00FE7D9B">
              <w:rPr>
                <w:rFonts w:eastAsia="Times New Roman"/>
                <w:i/>
                <w:sz w:val="20"/>
                <w:szCs w:val="20"/>
                <w:lang w:val="en-US"/>
              </w:rPr>
              <w:t>lectures</w:t>
            </w:r>
            <w:r w:rsidRPr="00FE7D9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r w:rsidR="00CB54BB" w:rsidRPr="00FE7D9B">
              <w:rPr>
                <w:rFonts w:eastAsia="Times New Roman"/>
                <w:i/>
                <w:sz w:val="20"/>
                <w:szCs w:val="20"/>
                <w:lang w:val="en-US"/>
              </w:rPr>
              <w:t>classes</w:t>
            </w:r>
            <w:r w:rsidRPr="00FE7D9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CB54BB" w:rsidRPr="00FE7D9B">
              <w:rPr>
                <w:rFonts w:eastAsia="Times New Roman"/>
                <w:i/>
                <w:sz w:val="20"/>
                <w:szCs w:val="20"/>
                <w:lang w:val="en-US"/>
              </w:rPr>
              <w:t>etc.</w:t>
            </w:r>
            <w:r w:rsidRPr="00FE7D9B">
              <w:rPr>
                <w:rFonts w:eastAsia="Times New Roman"/>
                <w:i/>
                <w:sz w:val="20"/>
                <w:szCs w:val="20"/>
              </w:rPr>
              <w:t>…)</w:t>
            </w:r>
          </w:p>
        </w:tc>
      </w:tr>
      <w:tr w:rsidR="00376B24" w:rsidRPr="00FE7D9B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FE7D9B" w:rsidRDefault="00E050B6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CNS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FE7D9B" w:rsidRDefault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FE7D9B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FE7D9B" w:rsidRDefault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Pituitary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tumors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E050B6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E050B6" w:rsidRDefault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E050B6">
              <w:rPr>
                <w:rFonts w:eastAsia="Times New Roman"/>
                <w:sz w:val="20"/>
                <w:szCs w:val="20"/>
                <w:lang w:val="en-US"/>
              </w:rPr>
              <w:t>Hydrocephalus and increased intracranial pressure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FE7D9B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FE7D9B" w:rsidRDefault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Vascular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malformations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of CNS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FE7D9B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FE7D9B" w:rsidRDefault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Developmental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abnormalities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of CNS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FE7D9B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FE7D9B" w:rsidRDefault="00CC5202" w:rsidP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Peripheral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nerve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pathologies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FE7D9B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FE7D9B" w:rsidRDefault="00CC5202" w:rsidP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Spine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trauma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CC5202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CC5202" w:rsidRDefault="00CC5202" w:rsidP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C5202">
              <w:rPr>
                <w:rFonts w:eastAsia="Times New Roman"/>
                <w:sz w:val="20"/>
                <w:szCs w:val="20"/>
                <w:lang w:val="en-US"/>
              </w:rPr>
              <w:t xml:space="preserve">Degenerative disease of the spine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CC5202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CC5202" w:rsidRDefault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Functional neurosurgery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CC5202" w:rsidRPr="00CC5202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5202" w:rsidRPr="00CC5202" w:rsidRDefault="00714ED5" w:rsidP="00CC520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Cranio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-cerebral</w:t>
            </w:r>
            <w:r w:rsidR="00CC5202">
              <w:rPr>
                <w:rFonts w:eastAsia="Times New Roman"/>
                <w:sz w:val="20"/>
                <w:szCs w:val="20"/>
                <w:lang w:val="en-US"/>
              </w:rPr>
              <w:t xml:space="preserve"> trauma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C5202" w:rsidRDefault="00CC5202">
            <w:proofErr w:type="spellStart"/>
            <w:r>
              <w:rPr>
                <w:rFonts w:eastAsia="Times New Roman"/>
                <w:sz w:val="20"/>
                <w:szCs w:val="20"/>
              </w:rPr>
              <w:t>lecture</w:t>
            </w:r>
            <w:proofErr w:type="spellEnd"/>
          </w:p>
        </w:tc>
      </w:tr>
      <w:tr w:rsidR="00376B24" w:rsidRPr="00CC5202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Epidemiology, etiology, pathology and prognosis in head trauma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CC5202" w:rsidRDefault="00A17FC4" w:rsidP="00714ED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seminar</w:t>
            </w:r>
          </w:p>
        </w:tc>
      </w:tr>
      <w:tr w:rsidR="00376B24" w:rsidRPr="00CC5202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76B2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Increased intracranial pressure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6B2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seminar</w:t>
            </w:r>
          </w:p>
        </w:tc>
      </w:tr>
      <w:tr w:rsidR="00376B24" w:rsidRPr="00CC5202" w:rsidTr="00A17FC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6B2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Intracranial bleeding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B2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seminar</w:t>
            </w:r>
          </w:p>
        </w:tc>
      </w:tr>
      <w:tr w:rsidR="00A17FC4" w:rsidRPr="00CC5202" w:rsidTr="00A17FC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Spontaneous intracranial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hemorrhagies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FC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seminar</w:t>
            </w:r>
          </w:p>
        </w:tc>
      </w:tr>
      <w:tr w:rsidR="00A17FC4" w:rsidRPr="00CC5202" w:rsidTr="00A17FC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 xml:space="preserve">Spine degenerative disease and peripheral nerve entrapment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syndroms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FC4" w:rsidRPr="00CC5202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seminary</w:t>
            </w:r>
          </w:p>
        </w:tc>
      </w:tr>
      <w:tr w:rsidR="00A17FC4" w:rsidRPr="00CC5202" w:rsidTr="00A17FC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4" w:rsidRDefault="00A17FC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Cranial fractures, CSF leak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FC4" w:rsidRDefault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A17FC4" w:rsidRPr="00CC5202" w:rsidTr="00A17FC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4" w:rsidRDefault="00A17FC4" w:rsidP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Intracranial hematomas</w:t>
            </w:r>
            <w:r w:rsidR="00657C52">
              <w:rPr>
                <w:rFonts w:eastAsia="Times New Roman"/>
                <w:sz w:val="20"/>
                <w:szCs w:val="20"/>
                <w:lang w:val="en-US"/>
              </w:rPr>
              <w:t>: subdural, epidural and intracerebral bleeding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FC4" w:rsidRDefault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A17FC4" w:rsidRPr="00CC5202" w:rsidTr="00A17FC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4" w:rsidRDefault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Spine degenerative disease and peripheral nerve entrapment syndrom</w:t>
            </w:r>
            <w:r w:rsidR="00AD13C2">
              <w:rPr>
                <w:rFonts w:eastAsia="Times New Roman"/>
                <w:sz w:val="20"/>
                <w:szCs w:val="20"/>
                <w:lang w:val="en-US"/>
              </w:rPr>
              <w:t>e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FC4" w:rsidRDefault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A17FC4" w:rsidRPr="00CC5202" w:rsidTr="00A17FC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4" w:rsidRDefault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Diffuse axonal injury. Cerebral contusion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FC4" w:rsidRDefault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A17FC4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4" w:rsidRDefault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Mild and moderate head injury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7FC4" w:rsidRDefault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Delayed complications of head trauma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 w:rsidP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Malignant brain tumors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Benign brain tumors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Cranial base tumors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 w:rsidP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Dandy Walker syndrome, Arnold Chiari syndrom</w:t>
            </w:r>
            <w:r w:rsidR="006828D6">
              <w:rPr>
                <w:rFonts w:eastAsia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 w:rsidP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Intracranial vascular malformations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 w:rsidP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Cerebral vasospasm in subarachnoid hemorrhage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 w:rsidP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Treatment of vertebral disc herniation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657C52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7F5" w:rsidRDefault="00ED47F5" w:rsidP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Posttraumatic spinal cord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syndroms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ED47F5" w:rsidRPr="00CC5202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47F5" w:rsidRDefault="00ED47F5" w:rsidP="00657C5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Medical documentation issues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47F5" w:rsidRDefault="00ED47F5" w:rsidP="009C15A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</w:tbl>
    <w:p w:rsidR="00376B24" w:rsidRPr="00CC5202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p w:rsidR="00376B24" w:rsidRPr="00CC5202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6B24" w:rsidRPr="000532AD" w:rsidTr="00376B24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6B24" w:rsidRPr="00FE7D9B" w:rsidRDefault="002D6AD9" w:rsidP="002D6AD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b/>
                <w:bCs/>
                <w:sz w:val="20"/>
                <w:szCs w:val="20"/>
                <w:lang w:val="en-US"/>
              </w:rPr>
              <w:t>A list of r</w:t>
            </w:r>
            <w:r w:rsidR="00CB54BB" w:rsidRPr="00FE7D9B">
              <w:rPr>
                <w:b/>
                <w:bCs/>
                <w:sz w:val="20"/>
                <w:szCs w:val="20"/>
                <w:lang w:val="en-US"/>
              </w:rPr>
              <w:t>ecommended and optional books</w:t>
            </w:r>
          </w:p>
        </w:tc>
      </w:tr>
      <w:tr w:rsidR="00376B24" w:rsidRPr="000532AD" w:rsidTr="00376B24"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B24" w:rsidRPr="00FE7D9B" w:rsidRDefault="00376B24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ED47F5" w:rsidRDefault="00ED47F5" w:rsidP="00ED4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ED47F5">
              <w:rPr>
                <w:rFonts w:eastAsia="Times New Roman"/>
                <w:sz w:val="20"/>
                <w:szCs w:val="20"/>
                <w:lang w:val="en-US"/>
              </w:rPr>
              <w:t xml:space="preserve">Principles Of Neurosurgery </w:t>
            </w:r>
            <w:r>
              <w:rPr>
                <w:rFonts w:eastAsia="Times New Roman"/>
                <w:sz w:val="20"/>
                <w:szCs w:val="20"/>
                <w:lang w:val="en-US"/>
              </w:rPr>
              <w:t>by  Robert A. Wilkins,</w:t>
            </w:r>
            <w:r w:rsidRPr="00ED47F5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D47F5">
              <w:rPr>
                <w:rFonts w:eastAsia="Times New Roman"/>
                <w:sz w:val="20"/>
                <w:szCs w:val="20"/>
                <w:lang w:val="en-US"/>
              </w:rPr>
              <w:t>Setti</w:t>
            </w:r>
            <w:proofErr w:type="spellEnd"/>
            <w:r w:rsidRPr="00ED47F5">
              <w:rPr>
                <w:rFonts w:eastAsia="Times New Roman"/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ED47F5">
              <w:rPr>
                <w:rFonts w:eastAsia="Times New Roman"/>
                <w:sz w:val="20"/>
                <w:szCs w:val="20"/>
                <w:lang w:val="en-US"/>
              </w:rPr>
              <w:t>Rengachary</w:t>
            </w:r>
            <w:proofErr w:type="spellEnd"/>
            <w:r w:rsidRPr="00ED47F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. Publisher: Mosby, 2006</w:t>
            </w:r>
          </w:p>
          <w:p w:rsidR="00ED47F5" w:rsidRPr="00ED47F5" w:rsidRDefault="00ED47F5" w:rsidP="00ED4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376B24" w:rsidRDefault="00ED47F5" w:rsidP="00ED4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ED47F5">
              <w:rPr>
                <w:rFonts w:eastAsia="Times New Roman"/>
                <w:sz w:val="20"/>
                <w:szCs w:val="20"/>
                <w:lang w:val="en-US"/>
              </w:rPr>
              <w:t>Handbook of Neurosurgery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 </w:t>
            </w:r>
            <w:r w:rsidRPr="00ED47F5">
              <w:rPr>
                <w:rFonts w:eastAsia="Times New Roman"/>
                <w:sz w:val="20"/>
                <w:szCs w:val="20"/>
                <w:lang w:val="en-US"/>
              </w:rPr>
              <w:t>Mark S. Greenberg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D47F5">
              <w:rPr>
                <w:rFonts w:eastAsia="Times New Roman"/>
                <w:sz w:val="20"/>
                <w:szCs w:val="20"/>
                <w:lang w:val="en-US"/>
              </w:rPr>
              <w:t>Thieme</w:t>
            </w:r>
            <w:proofErr w:type="spellEnd"/>
            <w:r w:rsidRPr="00ED47F5">
              <w:rPr>
                <w:rFonts w:eastAsia="Times New Roman"/>
                <w:sz w:val="20"/>
                <w:szCs w:val="20"/>
                <w:lang w:val="en-US"/>
              </w:rPr>
              <w:t xml:space="preserve">, 2006 - 1013  </w:t>
            </w:r>
          </w:p>
          <w:p w:rsidR="00ED47F5" w:rsidRDefault="00ED47F5" w:rsidP="00ED4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ED47F5" w:rsidRDefault="00ED47F5" w:rsidP="00ED4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Additional reading:</w:t>
            </w:r>
          </w:p>
          <w:p w:rsidR="00376B24" w:rsidRPr="00FE7D9B" w:rsidRDefault="00ED47F5" w:rsidP="00ED47F5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ED47F5">
              <w:rPr>
                <w:rFonts w:eastAsia="Times New Roman"/>
                <w:sz w:val="20"/>
                <w:szCs w:val="20"/>
                <w:lang w:val="en-US"/>
              </w:rPr>
              <w:t>Youmans Neurological Surgery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; </w:t>
            </w:r>
            <w:r w:rsidRPr="00ED47F5">
              <w:rPr>
                <w:rFonts w:eastAsia="Times New Roman"/>
                <w:sz w:val="20"/>
                <w:szCs w:val="20"/>
                <w:lang w:val="en-US"/>
              </w:rPr>
              <w:t>Elsevier Health Sciences, 2011</w:t>
            </w:r>
          </w:p>
          <w:p w:rsidR="00376B24" w:rsidRPr="00FE7D9B" w:rsidRDefault="00376B24">
            <w:pPr>
              <w:tabs>
                <w:tab w:val="left" w:pos="317"/>
              </w:tabs>
              <w:autoSpaceDE w:val="0"/>
              <w:autoSpaceDN w:val="0"/>
              <w:adjustRightInd w:val="0"/>
              <w:ind w:left="1037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76B24" w:rsidRPr="00FE7D9B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p w:rsidR="00376B24" w:rsidRPr="00FE7D9B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6B24" w:rsidRPr="00657C52" w:rsidTr="00376B24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6B24" w:rsidRPr="00657C52" w:rsidRDefault="00CB54B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Conditions</w:t>
            </w:r>
            <w:r w:rsidRPr="00657C52">
              <w:rPr>
                <w:rStyle w:val="shorttext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657C52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for</w:t>
            </w:r>
            <w:r w:rsidRPr="00657C52">
              <w:rPr>
                <w:rStyle w:val="shorttext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receiving</w:t>
            </w:r>
            <w:r w:rsidRPr="00657C52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credit</w:t>
            </w:r>
          </w:p>
        </w:tc>
      </w:tr>
      <w:tr w:rsidR="00376B24" w:rsidRPr="000532AD" w:rsidTr="00376B24"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B24" w:rsidRPr="00657C52" w:rsidRDefault="00376B2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376B24" w:rsidRPr="00657C52" w:rsidRDefault="00FA36B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Confirmed attendance record during all lectures, seminaries and workshops</w:t>
            </w:r>
          </w:p>
          <w:p w:rsidR="00376B24" w:rsidRPr="00657C52" w:rsidRDefault="00376B2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376B24" w:rsidRPr="00657C52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p w:rsidR="00376B24" w:rsidRPr="00657C52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693"/>
        <w:gridCol w:w="2224"/>
        <w:gridCol w:w="3871"/>
      </w:tblGrid>
      <w:tr w:rsidR="00376B24" w:rsidRPr="000A55E1" w:rsidTr="00376B24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24" w:rsidRPr="00FE7D9B" w:rsidRDefault="00CB54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E7D9B">
              <w:rPr>
                <w:rStyle w:val="hps"/>
                <w:color w:val="333333"/>
                <w:sz w:val="20"/>
                <w:szCs w:val="20"/>
              </w:rPr>
              <w:t>Date</w:t>
            </w:r>
            <w:proofErr w:type="spellEnd"/>
            <w:r w:rsidRPr="00FE7D9B">
              <w:rPr>
                <w:rStyle w:val="hps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FE7D9B">
              <w:rPr>
                <w:rStyle w:val="hps"/>
                <w:color w:val="333333"/>
                <w:sz w:val="20"/>
                <w:szCs w:val="20"/>
              </w:rPr>
              <w:t>issue</w:t>
            </w:r>
            <w:proofErr w:type="spellEnd"/>
            <w:r w:rsidR="00376B24" w:rsidRPr="00FE7D9B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9959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19.09.2017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24" w:rsidRPr="00FE7D9B" w:rsidRDefault="00CB54BB" w:rsidP="00567E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3128">
              <w:rPr>
                <w:rStyle w:val="hps"/>
                <w:color w:val="000000" w:themeColor="text1"/>
                <w:sz w:val="20"/>
                <w:szCs w:val="20"/>
                <w:lang w:val="en-US"/>
              </w:rPr>
              <w:t>Course coordinator</w:t>
            </w:r>
            <w:r w:rsidRPr="0031312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color w:val="000000" w:themeColor="text1"/>
                <w:sz w:val="20"/>
                <w:szCs w:val="20"/>
                <w:lang w:val="en-US"/>
              </w:rPr>
              <w:t>or the head</w:t>
            </w:r>
            <w:r w:rsidRPr="00313128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13128">
              <w:rPr>
                <w:rStyle w:val="hps"/>
                <w:color w:val="000000" w:themeColor="text1"/>
                <w:sz w:val="20"/>
                <w:szCs w:val="20"/>
                <w:lang w:val="en-US"/>
              </w:rPr>
              <w:t xml:space="preserve">of the department </w:t>
            </w:r>
            <w:r w:rsidRPr="00313128">
              <w:rPr>
                <w:color w:val="000000" w:themeColor="text1"/>
                <w:sz w:val="20"/>
                <w:szCs w:val="20"/>
                <w:lang w:val="en-US"/>
              </w:rPr>
              <w:t xml:space="preserve"> where the course is </w:t>
            </w:r>
            <w:r w:rsidR="00567EB4" w:rsidRPr="00313128">
              <w:rPr>
                <w:color w:val="000000" w:themeColor="text1"/>
                <w:sz w:val="20"/>
                <w:szCs w:val="20"/>
                <w:lang w:val="en-US"/>
              </w:rPr>
              <w:t>held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24" w:rsidRPr="00FE7D9B" w:rsidRDefault="009959D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Zenon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Mariak</w:t>
            </w:r>
            <w:proofErr w:type="spellEnd"/>
          </w:p>
        </w:tc>
      </w:tr>
    </w:tbl>
    <w:p w:rsidR="00376B24" w:rsidRPr="00CB54BB" w:rsidRDefault="00376B24" w:rsidP="00FB7F9C">
      <w:pPr>
        <w:rPr>
          <w:sz w:val="18"/>
          <w:szCs w:val="18"/>
          <w:lang w:val="en-US"/>
        </w:rPr>
      </w:pPr>
    </w:p>
    <w:sectPr w:rsidR="00376B24" w:rsidRPr="00CB54BB" w:rsidSect="00F5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3EB"/>
    <w:multiLevelType w:val="hybridMultilevel"/>
    <w:tmpl w:val="20BACB1E"/>
    <w:lvl w:ilvl="0" w:tplc="BF548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4"/>
    <w:rsid w:val="000532AD"/>
    <w:rsid w:val="00085370"/>
    <w:rsid w:val="000A55E1"/>
    <w:rsid w:val="00174171"/>
    <w:rsid w:val="002D6AD9"/>
    <w:rsid w:val="002E0572"/>
    <w:rsid w:val="00313128"/>
    <w:rsid w:val="00334968"/>
    <w:rsid w:val="00376B24"/>
    <w:rsid w:val="0043680F"/>
    <w:rsid w:val="00567EB4"/>
    <w:rsid w:val="00657C52"/>
    <w:rsid w:val="006828D6"/>
    <w:rsid w:val="007024F2"/>
    <w:rsid w:val="00714ED5"/>
    <w:rsid w:val="00717CFD"/>
    <w:rsid w:val="0073312E"/>
    <w:rsid w:val="007413A7"/>
    <w:rsid w:val="007A6DDE"/>
    <w:rsid w:val="008115CA"/>
    <w:rsid w:val="00864975"/>
    <w:rsid w:val="008E6D60"/>
    <w:rsid w:val="00944026"/>
    <w:rsid w:val="009959DD"/>
    <w:rsid w:val="009A12D2"/>
    <w:rsid w:val="009B0AA1"/>
    <w:rsid w:val="00A17FC4"/>
    <w:rsid w:val="00A67C66"/>
    <w:rsid w:val="00AB79BB"/>
    <w:rsid w:val="00AD13C2"/>
    <w:rsid w:val="00B109E4"/>
    <w:rsid w:val="00B26268"/>
    <w:rsid w:val="00B91A50"/>
    <w:rsid w:val="00BC310B"/>
    <w:rsid w:val="00CB54BB"/>
    <w:rsid w:val="00CC5202"/>
    <w:rsid w:val="00D30C73"/>
    <w:rsid w:val="00DA6D3A"/>
    <w:rsid w:val="00E050B6"/>
    <w:rsid w:val="00ED47F5"/>
    <w:rsid w:val="00F54E24"/>
    <w:rsid w:val="00F935DE"/>
    <w:rsid w:val="00FA36B1"/>
    <w:rsid w:val="00FB13A8"/>
    <w:rsid w:val="00FB7F9C"/>
    <w:rsid w:val="00FE7D9B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41D80-2619-4D9B-A7AF-AD28860F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6B24"/>
    <w:pPr>
      <w:ind w:left="720"/>
      <w:contextualSpacing/>
    </w:pPr>
  </w:style>
  <w:style w:type="character" w:customStyle="1" w:styleId="shorttext">
    <w:name w:val="short_text"/>
    <w:basedOn w:val="Domylnaczcionkaakapitu"/>
    <w:rsid w:val="00376B24"/>
  </w:style>
  <w:style w:type="character" w:customStyle="1" w:styleId="hps">
    <w:name w:val="hps"/>
    <w:basedOn w:val="Domylnaczcionkaakapitu"/>
    <w:rsid w:val="00376B24"/>
  </w:style>
  <w:style w:type="paragraph" w:styleId="Tekstdymka">
    <w:name w:val="Balloon Text"/>
    <w:basedOn w:val="Normalny"/>
    <w:link w:val="TekstdymkaZnak"/>
    <w:uiPriority w:val="99"/>
    <w:semiHidden/>
    <w:unhideWhenUsed/>
    <w:rsid w:val="00085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7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57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331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681C-4101-4041-B4CD-F6B9C047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Kiełpiński</dc:creator>
  <cp:lastModifiedBy>Monika</cp:lastModifiedBy>
  <cp:revision>2</cp:revision>
  <cp:lastPrinted>2018-03-20T12:47:00Z</cp:lastPrinted>
  <dcterms:created xsi:type="dcterms:W3CDTF">2018-03-20T13:13:00Z</dcterms:created>
  <dcterms:modified xsi:type="dcterms:W3CDTF">2018-03-20T13:13:00Z</dcterms:modified>
</cp:coreProperties>
</file>