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5E" w:rsidRDefault="008A50EC" w:rsidP="0060535E">
      <w:pPr>
        <w:spacing w:before="150" w:after="0" w:line="240" w:lineRule="auto"/>
        <w:outlineLvl w:val="3"/>
        <w:rPr>
          <w:rFonts w:ascii="Arial" w:eastAsia="Times New Roman" w:hAnsi="Arial" w:cs="Arial"/>
          <w:b/>
          <w:bCs/>
          <w:color w:val="1D7065"/>
          <w:sz w:val="36"/>
          <w:szCs w:val="36"/>
          <w:lang w:val="en"/>
        </w:rPr>
      </w:pPr>
      <w:proofErr w:type="gramStart"/>
      <w:r w:rsidRPr="002D2387">
        <w:rPr>
          <w:rFonts w:ascii="Arial" w:eastAsia="Times New Roman" w:hAnsi="Arial" w:cs="Arial"/>
          <w:b/>
          <w:bCs/>
          <w:color w:val="1D7065"/>
          <w:sz w:val="36"/>
          <w:szCs w:val="36"/>
          <w:lang w:val="en"/>
        </w:rPr>
        <w:t xml:space="preserve">Federal  </w:t>
      </w:r>
      <w:r w:rsidR="002D2387">
        <w:rPr>
          <w:rFonts w:ascii="Arial" w:eastAsia="Times New Roman" w:hAnsi="Arial" w:cs="Arial"/>
          <w:b/>
          <w:bCs/>
          <w:color w:val="1D7065"/>
          <w:sz w:val="36"/>
          <w:szCs w:val="36"/>
          <w:lang w:val="en"/>
        </w:rPr>
        <w:t>Direct</w:t>
      </w:r>
      <w:proofErr w:type="gramEnd"/>
      <w:r w:rsidR="002D2387">
        <w:rPr>
          <w:rFonts w:ascii="Arial" w:eastAsia="Times New Roman" w:hAnsi="Arial" w:cs="Arial"/>
          <w:b/>
          <w:bCs/>
          <w:color w:val="1D7065"/>
          <w:sz w:val="36"/>
          <w:szCs w:val="36"/>
          <w:lang w:val="en"/>
        </w:rPr>
        <w:t xml:space="preserve"> Stafford </w:t>
      </w:r>
      <w:r w:rsidR="0060535E" w:rsidRPr="002D2387">
        <w:rPr>
          <w:rFonts w:ascii="Arial" w:eastAsia="Times New Roman" w:hAnsi="Arial" w:cs="Arial"/>
          <w:b/>
          <w:bCs/>
          <w:color w:val="1D7065"/>
          <w:sz w:val="36"/>
          <w:szCs w:val="36"/>
          <w:lang w:val="en"/>
        </w:rPr>
        <w:t xml:space="preserve">Loan </w:t>
      </w:r>
      <w:r w:rsidR="002D2387">
        <w:rPr>
          <w:rFonts w:ascii="Arial" w:eastAsia="Times New Roman" w:hAnsi="Arial" w:cs="Arial"/>
          <w:b/>
          <w:bCs/>
          <w:color w:val="1D7065"/>
          <w:sz w:val="36"/>
          <w:szCs w:val="36"/>
          <w:lang w:val="en"/>
        </w:rPr>
        <w:t xml:space="preserve"> L</w:t>
      </w:r>
      <w:r w:rsidR="0060535E" w:rsidRPr="002D2387">
        <w:rPr>
          <w:rFonts w:ascii="Arial" w:eastAsia="Times New Roman" w:hAnsi="Arial" w:cs="Arial"/>
          <w:b/>
          <w:bCs/>
          <w:color w:val="1D7065"/>
          <w:sz w:val="36"/>
          <w:szCs w:val="36"/>
          <w:lang w:val="en"/>
        </w:rPr>
        <w:t>imits</w:t>
      </w:r>
      <w:r w:rsidR="002D2387">
        <w:rPr>
          <w:rFonts w:ascii="Arial" w:eastAsia="Times New Roman" w:hAnsi="Arial" w:cs="Arial"/>
          <w:b/>
          <w:bCs/>
          <w:color w:val="1D7065"/>
          <w:sz w:val="36"/>
          <w:szCs w:val="36"/>
          <w:lang w:val="en"/>
        </w:rPr>
        <w:t xml:space="preserve">:  </w:t>
      </w:r>
    </w:p>
    <w:p w:rsidR="00DE66FC" w:rsidRDefault="00DE66FC" w:rsidP="0060535E">
      <w:pPr>
        <w:spacing w:before="150" w:after="0" w:line="240" w:lineRule="auto"/>
        <w:outlineLvl w:val="3"/>
        <w:rPr>
          <w:rFonts w:ascii="Arial" w:eastAsia="Times New Roman" w:hAnsi="Arial" w:cs="Arial"/>
          <w:bCs/>
          <w:i/>
          <w:color w:val="FF0000"/>
          <w:sz w:val="18"/>
          <w:szCs w:val="18"/>
          <w:lang w:val="en"/>
        </w:rPr>
      </w:pPr>
    </w:p>
    <w:p w:rsidR="00675850" w:rsidRDefault="002D2387" w:rsidP="0060535E">
      <w:pPr>
        <w:spacing w:before="150" w:after="0" w:line="240" w:lineRule="auto"/>
        <w:outlineLvl w:val="3"/>
        <w:rPr>
          <w:rFonts w:ascii="Arial" w:eastAsia="Times New Roman" w:hAnsi="Arial" w:cs="Arial"/>
          <w:bCs/>
          <w:i/>
          <w:color w:val="FF0000"/>
          <w:sz w:val="18"/>
          <w:szCs w:val="18"/>
          <w:lang w:val="en"/>
        </w:rPr>
      </w:pPr>
      <w:r w:rsidRPr="002D2387">
        <w:rPr>
          <w:rFonts w:ascii="Arial" w:eastAsia="Times New Roman" w:hAnsi="Arial" w:cs="Arial"/>
          <w:bCs/>
          <w:i/>
          <w:color w:val="FF0000"/>
          <w:sz w:val="18"/>
          <w:szCs w:val="18"/>
          <w:lang w:val="en"/>
        </w:rPr>
        <w:t xml:space="preserve">Please Note: </w:t>
      </w:r>
      <w:r w:rsidR="00DE66FC">
        <w:rPr>
          <w:rFonts w:ascii="Arial" w:eastAsia="Times New Roman" w:hAnsi="Arial" w:cs="Arial"/>
          <w:bCs/>
          <w:i/>
          <w:color w:val="FF0000"/>
          <w:sz w:val="18"/>
          <w:szCs w:val="18"/>
          <w:lang w:val="en"/>
        </w:rPr>
        <w:t xml:space="preserve">PLUS </w:t>
      </w:r>
      <w:proofErr w:type="gramStart"/>
      <w:r w:rsidR="00DE66FC">
        <w:rPr>
          <w:rFonts w:ascii="Arial" w:eastAsia="Times New Roman" w:hAnsi="Arial" w:cs="Arial"/>
          <w:bCs/>
          <w:i/>
          <w:color w:val="FF0000"/>
          <w:sz w:val="18"/>
          <w:szCs w:val="18"/>
          <w:lang w:val="en"/>
        </w:rPr>
        <w:t>Loans  can</w:t>
      </w:r>
      <w:proofErr w:type="gramEnd"/>
      <w:r w:rsidR="00DE66FC">
        <w:rPr>
          <w:rFonts w:ascii="Arial" w:eastAsia="Times New Roman" w:hAnsi="Arial" w:cs="Arial"/>
          <w:bCs/>
          <w:i/>
          <w:color w:val="FF0000"/>
          <w:sz w:val="18"/>
          <w:szCs w:val="18"/>
          <w:lang w:val="en"/>
        </w:rPr>
        <w:t xml:space="preserve"> be borrowed to fill the gap between the amount of Subsidized/Unsubsidized loans and your Cost of Attendance.  </w:t>
      </w:r>
    </w:p>
    <w:p w:rsidR="002D2387" w:rsidRDefault="00DE66FC" w:rsidP="0060535E">
      <w:pPr>
        <w:spacing w:before="150" w:after="0" w:line="240" w:lineRule="auto"/>
        <w:outlineLvl w:val="3"/>
        <w:rPr>
          <w:rFonts w:ascii="Arial" w:eastAsia="Times New Roman" w:hAnsi="Arial" w:cs="Arial"/>
          <w:bCs/>
          <w:i/>
          <w:color w:val="FF0000"/>
          <w:sz w:val="18"/>
          <w:szCs w:val="18"/>
          <w:lang w:val="en"/>
        </w:rPr>
      </w:pPr>
      <w:r>
        <w:rPr>
          <w:rFonts w:ascii="Arial" w:eastAsia="Times New Roman" w:hAnsi="Arial" w:cs="Arial"/>
          <w:bCs/>
          <w:i/>
          <w:color w:val="FF0000"/>
          <w:sz w:val="18"/>
          <w:szCs w:val="18"/>
          <w:lang w:val="en"/>
        </w:rPr>
        <w:t xml:space="preserve">The limits listed below do  </w:t>
      </w:r>
      <w:r w:rsidR="002D2387" w:rsidRPr="002D2387">
        <w:rPr>
          <w:rFonts w:ascii="Arial" w:eastAsia="Times New Roman" w:hAnsi="Arial" w:cs="Arial"/>
          <w:bCs/>
          <w:i/>
          <w:color w:val="FF0000"/>
          <w:sz w:val="18"/>
          <w:szCs w:val="18"/>
          <w:lang w:val="en"/>
        </w:rPr>
        <w:t xml:space="preserve"> not include the PLUS (Parents Loan for Undergraduate Students and the Grad PLUS (for graduate students) which at this time do not have a cap on annual or aggregate borrowing.  However, borrowers must pass a credit test in order to receive an approval to borrow a PLUS loan. </w:t>
      </w:r>
    </w:p>
    <w:p w:rsidR="002D2387" w:rsidRPr="002D2387" w:rsidRDefault="00675850" w:rsidP="00675850">
      <w:pPr>
        <w:spacing w:before="150" w:after="0" w:line="240" w:lineRule="auto"/>
        <w:outlineLvl w:val="3"/>
        <w:rPr>
          <w:rFonts w:ascii="Arial" w:eastAsia="Times New Roman" w:hAnsi="Arial" w:cs="Arial"/>
          <w:i/>
          <w:color w:val="FF0000"/>
          <w:sz w:val="18"/>
          <w:szCs w:val="18"/>
          <w:lang w:val="en"/>
        </w:rPr>
      </w:pPr>
      <w:r>
        <w:rPr>
          <w:rFonts w:ascii="Arial" w:eastAsia="Times New Roman" w:hAnsi="Arial" w:cs="Arial"/>
          <w:bCs/>
          <w:i/>
          <w:color w:val="FF0000"/>
          <w:sz w:val="18"/>
          <w:szCs w:val="18"/>
          <w:lang w:val="en"/>
        </w:rPr>
        <w:t xml:space="preserve">Students and their parents can fully fund their cost of attendance with a combination of the Subsidized, </w:t>
      </w:r>
      <w:proofErr w:type="spellStart"/>
      <w:r>
        <w:rPr>
          <w:rFonts w:ascii="Arial" w:eastAsia="Times New Roman" w:hAnsi="Arial" w:cs="Arial"/>
          <w:bCs/>
          <w:i/>
          <w:color w:val="FF0000"/>
          <w:sz w:val="18"/>
          <w:szCs w:val="18"/>
          <w:lang w:val="en"/>
        </w:rPr>
        <w:t>Unsub</w:t>
      </w:r>
      <w:r w:rsidR="007915D0">
        <w:rPr>
          <w:rFonts w:ascii="Arial" w:eastAsia="Times New Roman" w:hAnsi="Arial" w:cs="Arial"/>
          <w:bCs/>
          <w:i/>
          <w:color w:val="FF0000"/>
          <w:sz w:val="18"/>
          <w:szCs w:val="18"/>
          <w:lang w:val="en"/>
        </w:rPr>
        <w:t>si</w:t>
      </w:r>
      <w:r>
        <w:rPr>
          <w:rFonts w:ascii="Arial" w:eastAsia="Times New Roman" w:hAnsi="Arial" w:cs="Arial"/>
          <w:bCs/>
          <w:i/>
          <w:color w:val="FF0000"/>
          <w:sz w:val="18"/>
          <w:szCs w:val="18"/>
          <w:lang w:val="en"/>
        </w:rPr>
        <w:t>dizied</w:t>
      </w:r>
      <w:proofErr w:type="spellEnd"/>
      <w:r>
        <w:rPr>
          <w:rFonts w:ascii="Arial" w:eastAsia="Times New Roman" w:hAnsi="Arial" w:cs="Arial"/>
          <w:bCs/>
          <w:i/>
          <w:color w:val="FF0000"/>
          <w:sz w:val="18"/>
          <w:szCs w:val="18"/>
          <w:lang w:val="en"/>
        </w:rPr>
        <w:t xml:space="preserve"> and PLUS loan program.  (PLUS requires a credit check)</w:t>
      </w:r>
    </w:p>
    <w:p w:rsidR="0060535E" w:rsidRPr="0060535E" w:rsidRDefault="0060535E" w:rsidP="0060535E">
      <w:pPr>
        <w:spacing w:after="75" w:line="336" w:lineRule="atLeast"/>
        <w:rPr>
          <w:rFonts w:ascii="Arial" w:eastAsia="Times New Roman" w:hAnsi="Arial" w:cs="Arial"/>
          <w:color w:val="000000"/>
          <w:sz w:val="18"/>
          <w:szCs w:val="18"/>
          <w:lang w:val="en"/>
        </w:rPr>
      </w:pPr>
      <w:r w:rsidRPr="0060535E">
        <w:rPr>
          <w:rFonts w:ascii="Arial" w:eastAsia="Times New Roman" w:hAnsi="Arial" w:cs="Arial"/>
          <w:color w:val="000000"/>
          <w:sz w:val="18"/>
          <w:szCs w:val="18"/>
          <w:lang w:val="en"/>
        </w:rPr>
        <w:t>The maximum amount you can borrow each year in Direct Subsidized and Unsubsidized Loans depends on your grade level and on whether you are a dependent student or an independent student. The following table shows the maximum amount of money you may borrow each academic year in Direct Subsidized and Unsubsidized Loans as well as the total or aggregate amount you may borrow:</w:t>
      </w:r>
    </w:p>
    <w:p w:rsidR="0060535E" w:rsidRPr="0060535E" w:rsidRDefault="0060535E" w:rsidP="0060535E">
      <w:pPr>
        <w:spacing w:after="0" w:line="240" w:lineRule="auto"/>
        <w:rPr>
          <w:rFonts w:ascii="Arial" w:eastAsia="Times New Roman" w:hAnsi="Arial" w:cs="Arial"/>
          <w:color w:val="000000"/>
          <w:sz w:val="18"/>
          <w:szCs w:val="18"/>
          <w:lang w:val="en"/>
        </w:rPr>
      </w:pPr>
    </w:p>
    <w:tbl>
      <w:tblPr>
        <w:tblW w:w="5000" w:type="pct"/>
        <w:tblCellSpacing w:w="15" w:type="dxa"/>
        <w:tblBorders>
          <w:top w:val="single" w:sz="6" w:space="0" w:color="647378"/>
          <w:left w:val="single" w:sz="6" w:space="0" w:color="647378"/>
        </w:tblBorders>
        <w:tblCellMar>
          <w:top w:w="15" w:type="dxa"/>
          <w:left w:w="15" w:type="dxa"/>
          <w:bottom w:w="15" w:type="dxa"/>
          <w:right w:w="15" w:type="dxa"/>
        </w:tblCellMar>
        <w:tblLook w:val="04A0" w:firstRow="1" w:lastRow="0" w:firstColumn="1" w:lastColumn="0" w:noHBand="0" w:noVBand="1"/>
      </w:tblPr>
      <w:tblGrid>
        <w:gridCol w:w="1830"/>
        <w:gridCol w:w="2565"/>
        <w:gridCol w:w="2565"/>
        <w:gridCol w:w="2580"/>
      </w:tblGrid>
      <w:tr w:rsidR="0060535E" w:rsidRPr="0060535E" w:rsidTr="0060535E">
        <w:trPr>
          <w:trHeight w:val="207"/>
          <w:tblCellSpacing w:w="15" w:type="dxa"/>
        </w:trPr>
        <w:tc>
          <w:tcPr>
            <w:tcW w:w="0" w:type="auto"/>
            <w:gridSpan w:val="4"/>
            <w:vMerge w:val="restart"/>
            <w:tcBorders>
              <w:top w:val="nil"/>
              <w:left w:val="nil"/>
              <w:bottom w:val="nil"/>
              <w:right w:val="nil"/>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Direct Stafford Loan Limits (Subsidized and Unsubsidized)</w:t>
            </w:r>
          </w:p>
        </w:tc>
      </w:tr>
      <w:tr w:rsidR="0060535E" w:rsidRPr="0060535E" w:rsidTr="0060535E">
        <w:trPr>
          <w:tblCellSpacing w:w="15" w:type="dxa"/>
        </w:trPr>
        <w:tc>
          <w:tcPr>
            <w:tcW w:w="950" w:type="pct"/>
            <w:vMerge w:val="restart"/>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 </w:t>
            </w:r>
          </w:p>
        </w:tc>
        <w:tc>
          <w:tcPr>
            <w:tcW w:w="2700" w:type="pct"/>
            <w:gridSpan w:val="2"/>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Undergraduate students</w:t>
            </w:r>
          </w:p>
        </w:tc>
        <w:tc>
          <w:tcPr>
            <w:tcW w:w="1350" w:type="pct"/>
            <w:vMerge w:val="restart"/>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Graduate students</w:t>
            </w:r>
          </w:p>
        </w:tc>
      </w:tr>
      <w:tr w:rsidR="0060535E" w:rsidRPr="0060535E" w:rsidTr="0060535E">
        <w:trPr>
          <w:tblCellSpacing w:w="15" w:type="dxa"/>
        </w:trPr>
        <w:tc>
          <w:tcPr>
            <w:tcW w:w="0" w:type="auto"/>
            <w:vMerge/>
            <w:tcBorders>
              <w:bottom w:val="single" w:sz="6" w:space="0" w:color="647378"/>
              <w:right w:val="single" w:sz="6" w:space="0" w:color="647378"/>
            </w:tcBorders>
            <w:vAlign w:val="center"/>
            <w:hideMark/>
          </w:tcPr>
          <w:p w:rsidR="0060535E" w:rsidRPr="0060535E" w:rsidRDefault="0060535E" w:rsidP="0060535E">
            <w:pPr>
              <w:spacing w:after="0" w:line="240" w:lineRule="auto"/>
              <w:rPr>
                <w:rFonts w:ascii="Arial" w:eastAsia="Times New Roman" w:hAnsi="Arial" w:cs="Arial"/>
                <w:b/>
                <w:bCs/>
                <w:color w:val="000000"/>
                <w:sz w:val="18"/>
                <w:szCs w:val="18"/>
              </w:rPr>
            </w:pPr>
          </w:p>
        </w:tc>
        <w:tc>
          <w:tcPr>
            <w:tcW w:w="1350" w:type="pct"/>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Dependent</w:t>
            </w:r>
            <w:r w:rsidRPr="0060535E">
              <w:rPr>
                <w:rFonts w:ascii="Arial" w:eastAsia="Times New Roman" w:hAnsi="Arial" w:cs="Arial"/>
                <w:b/>
                <w:bCs/>
                <w:color w:val="FFFFFF"/>
                <w:sz w:val="15"/>
                <w:szCs w:val="15"/>
                <w:vertAlign w:val="superscript"/>
              </w:rPr>
              <w:t>1</w:t>
            </w:r>
          </w:p>
        </w:tc>
        <w:tc>
          <w:tcPr>
            <w:tcW w:w="1350" w:type="pct"/>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Independent</w:t>
            </w:r>
            <w:r w:rsidRPr="0060535E">
              <w:rPr>
                <w:rFonts w:ascii="Arial" w:eastAsia="Times New Roman" w:hAnsi="Arial" w:cs="Arial"/>
                <w:b/>
                <w:bCs/>
                <w:color w:val="FFFFFF"/>
                <w:sz w:val="15"/>
                <w:szCs w:val="15"/>
                <w:vertAlign w:val="superscript"/>
              </w:rPr>
              <w:t>2</w:t>
            </w:r>
          </w:p>
        </w:tc>
        <w:tc>
          <w:tcPr>
            <w:tcW w:w="0" w:type="auto"/>
            <w:vMerge/>
            <w:vAlign w:val="center"/>
            <w:hideMark/>
          </w:tcPr>
          <w:p w:rsidR="0060535E" w:rsidRPr="0060535E" w:rsidRDefault="0060535E" w:rsidP="0060535E">
            <w:pPr>
              <w:spacing w:after="0" w:line="240" w:lineRule="auto"/>
              <w:rPr>
                <w:rFonts w:ascii="Arial" w:eastAsia="Times New Roman" w:hAnsi="Arial" w:cs="Arial"/>
                <w:b/>
                <w:bCs/>
                <w:color w:val="FFFFFF"/>
                <w:sz w:val="18"/>
                <w:szCs w:val="18"/>
              </w:rPr>
            </w:pPr>
          </w:p>
        </w:tc>
      </w:tr>
      <w:tr w:rsidR="0060535E" w:rsidRPr="0060535E" w:rsidTr="0060535E">
        <w:trPr>
          <w:trHeight w:val="675"/>
          <w:tblCellSpacing w:w="15" w:type="dxa"/>
        </w:trPr>
        <w:tc>
          <w:tcPr>
            <w:tcW w:w="0" w:type="auto"/>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1st-year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$5,500 ($3,500)</w:t>
            </w:r>
            <w:r w:rsidRPr="0060535E">
              <w:rPr>
                <w:rFonts w:ascii="Arial" w:eastAsia="Times New Roman" w:hAnsi="Arial" w:cs="Arial"/>
                <w:b/>
                <w:bCs/>
                <w:color w:val="000000"/>
                <w:sz w:val="15"/>
                <w:szCs w:val="15"/>
                <w:vertAlign w:val="superscript"/>
              </w:rPr>
              <w:t>3</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$9,500 ($3,500)</w:t>
            </w:r>
          </w:p>
        </w:tc>
        <w:tc>
          <w:tcPr>
            <w:tcW w:w="0" w:type="auto"/>
            <w:vMerge w:val="restart"/>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$20,500 ($8,500</w:t>
            </w:r>
            <w:r w:rsidRPr="0060535E">
              <w:rPr>
                <w:rFonts w:ascii="Arial" w:eastAsia="Times New Roman" w:hAnsi="Arial" w:cs="Arial"/>
                <w:b/>
                <w:bCs/>
                <w:color w:val="000000"/>
                <w:sz w:val="15"/>
                <w:szCs w:val="15"/>
                <w:vertAlign w:val="superscript"/>
              </w:rPr>
              <w:t>4</w:t>
            </w:r>
            <w:r w:rsidRPr="0060535E">
              <w:rPr>
                <w:rFonts w:ascii="Arial" w:eastAsia="Times New Roman" w:hAnsi="Arial" w:cs="Arial"/>
                <w:b/>
                <w:bCs/>
                <w:color w:val="000000"/>
                <w:sz w:val="18"/>
                <w:szCs w:val="18"/>
              </w:rPr>
              <w:t>) for each year</w:t>
            </w:r>
          </w:p>
        </w:tc>
      </w:tr>
      <w:tr w:rsidR="0060535E" w:rsidRPr="0060535E" w:rsidTr="0060535E">
        <w:trPr>
          <w:trHeight w:val="675"/>
          <w:tblCellSpacing w:w="15" w:type="dxa"/>
        </w:trPr>
        <w:tc>
          <w:tcPr>
            <w:tcW w:w="0" w:type="auto"/>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2nd-year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$6,500 ($4,500)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$10,500 ($4,500)</w:t>
            </w:r>
          </w:p>
        </w:tc>
        <w:tc>
          <w:tcPr>
            <w:tcW w:w="0" w:type="auto"/>
            <w:vMerge/>
            <w:tcBorders>
              <w:bottom w:val="single" w:sz="6" w:space="0" w:color="647378"/>
              <w:right w:val="single" w:sz="6" w:space="0" w:color="647378"/>
            </w:tcBorders>
            <w:vAlign w:val="center"/>
            <w:hideMark/>
          </w:tcPr>
          <w:p w:rsidR="0060535E" w:rsidRPr="0060535E" w:rsidRDefault="0060535E" w:rsidP="0060535E">
            <w:pPr>
              <w:spacing w:after="0" w:line="240" w:lineRule="auto"/>
              <w:rPr>
                <w:rFonts w:ascii="Arial" w:eastAsia="Times New Roman" w:hAnsi="Arial" w:cs="Arial"/>
                <w:b/>
                <w:bCs/>
                <w:color w:val="000000"/>
                <w:sz w:val="18"/>
                <w:szCs w:val="18"/>
              </w:rPr>
            </w:pPr>
          </w:p>
        </w:tc>
      </w:tr>
      <w:tr w:rsidR="0060535E" w:rsidRPr="0060535E" w:rsidTr="0060535E">
        <w:trPr>
          <w:trHeight w:val="675"/>
          <w:tblCellSpacing w:w="15" w:type="dxa"/>
        </w:trPr>
        <w:tc>
          <w:tcPr>
            <w:tcW w:w="0" w:type="auto"/>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3rd- and 4th-year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$7,500 ($5,500)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$12,500 ($5,500)</w:t>
            </w:r>
          </w:p>
        </w:tc>
        <w:tc>
          <w:tcPr>
            <w:tcW w:w="0" w:type="auto"/>
            <w:vMerge/>
            <w:tcBorders>
              <w:bottom w:val="single" w:sz="6" w:space="0" w:color="647378"/>
              <w:right w:val="single" w:sz="6" w:space="0" w:color="647378"/>
            </w:tcBorders>
            <w:vAlign w:val="center"/>
            <w:hideMark/>
          </w:tcPr>
          <w:p w:rsidR="0060535E" w:rsidRPr="0060535E" w:rsidRDefault="0060535E" w:rsidP="0060535E">
            <w:pPr>
              <w:spacing w:after="0" w:line="240" w:lineRule="auto"/>
              <w:rPr>
                <w:rFonts w:ascii="Arial" w:eastAsia="Times New Roman" w:hAnsi="Arial" w:cs="Arial"/>
                <w:b/>
                <w:bCs/>
                <w:color w:val="000000"/>
                <w:sz w:val="18"/>
                <w:szCs w:val="18"/>
              </w:rPr>
            </w:pPr>
          </w:p>
        </w:tc>
      </w:tr>
      <w:tr w:rsidR="0060535E" w:rsidRPr="0060535E" w:rsidTr="0060535E">
        <w:trPr>
          <w:trHeight w:val="675"/>
          <w:tblCellSpacing w:w="15" w:type="dxa"/>
        </w:trPr>
        <w:tc>
          <w:tcPr>
            <w:tcW w:w="0" w:type="auto"/>
            <w:shd w:val="clear" w:color="auto" w:fill="647378"/>
            <w:tcMar>
              <w:top w:w="30" w:type="dxa"/>
              <w:left w:w="60" w:type="dxa"/>
              <w:bottom w:w="30" w:type="dxa"/>
              <w:right w:w="60" w:type="dxa"/>
            </w:tcMar>
            <w:vAlign w:val="center"/>
            <w:hideMark/>
          </w:tcPr>
          <w:p w:rsidR="0060535E" w:rsidRPr="0060535E" w:rsidRDefault="0060535E" w:rsidP="0060535E">
            <w:pPr>
              <w:spacing w:after="0" w:line="240" w:lineRule="auto"/>
              <w:rPr>
                <w:rFonts w:ascii="Arial" w:eastAsia="Times New Roman" w:hAnsi="Arial" w:cs="Arial"/>
                <w:b/>
                <w:bCs/>
                <w:color w:val="FFFFFF"/>
                <w:sz w:val="18"/>
                <w:szCs w:val="18"/>
              </w:rPr>
            </w:pPr>
            <w:r w:rsidRPr="0060535E">
              <w:rPr>
                <w:rFonts w:ascii="Arial" w:eastAsia="Times New Roman" w:hAnsi="Arial" w:cs="Arial"/>
                <w:b/>
                <w:bCs/>
                <w:color w:val="FFFFFF"/>
                <w:sz w:val="18"/>
                <w:szCs w:val="18"/>
              </w:rPr>
              <w:t>Aggregate</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$31,000 ($23,000)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$57,500 ($23,000)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rsidR="0060535E" w:rsidRPr="0060535E" w:rsidRDefault="0060535E" w:rsidP="0060535E">
            <w:pPr>
              <w:spacing w:after="0" w:line="240" w:lineRule="auto"/>
              <w:jc w:val="center"/>
              <w:rPr>
                <w:rFonts w:ascii="Arial" w:eastAsia="Times New Roman" w:hAnsi="Arial" w:cs="Arial"/>
                <w:b/>
                <w:bCs/>
                <w:color w:val="000000"/>
                <w:sz w:val="18"/>
                <w:szCs w:val="18"/>
              </w:rPr>
            </w:pPr>
            <w:r w:rsidRPr="0060535E">
              <w:rPr>
                <w:rFonts w:ascii="Arial" w:eastAsia="Times New Roman" w:hAnsi="Arial" w:cs="Arial"/>
                <w:b/>
                <w:bCs/>
                <w:color w:val="000000"/>
                <w:sz w:val="18"/>
                <w:szCs w:val="18"/>
              </w:rPr>
              <w:t>$138,500</w:t>
            </w:r>
            <w:r w:rsidRPr="0060535E">
              <w:rPr>
                <w:rFonts w:ascii="Arial" w:eastAsia="Times New Roman" w:hAnsi="Arial" w:cs="Arial"/>
                <w:b/>
                <w:bCs/>
                <w:color w:val="000000"/>
                <w:sz w:val="15"/>
                <w:szCs w:val="15"/>
                <w:vertAlign w:val="superscript"/>
              </w:rPr>
              <w:t>5</w:t>
            </w:r>
            <w:r w:rsidRPr="0060535E">
              <w:rPr>
                <w:rFonts w:ascii="Arial" w:eastAsia="Times New Roman" w:hAnsi="Arial" w:cs="Arial"/>
                <w:b/>
                <w:bCs/>
                <w:color w:val="000000"/>
                <w:sz w:val="18"/>
                <w:szCs w:val="18"/>
              </w:rPr>
              <w:t xml:space="preserve"> ($65,500)</w:t>
            </w:r>
          </w:p>
        </w:tc>
      </w:tr>
    </w:tbl>
    <w:p w:rsidR="002D2387" w:rsidRDefault="002D2387" w:rsidP="0060535E">
      <w:pPr>
        <w:spacing w:after="0" w:line="336" w:lineRule="atLeast"/>
        <w:rPr>
          <w:rFonts w:ascii="Arial" w:eastAsia="Times New Roman" w:hAnsi="Arial" w:cs="Arial"/>
          <w:color w:val="000000"/>
          <w:sz w:val="15"/>
          <w:szCs w:val="15"/>
          <w:vertAlign w:val="superscript"/>
          <w:lang w:val="en"/>
        </w:rPr>
      </w:pPr>
    </w:p>
    <w:p w:rsidR="0060535E" w:rsidRPr="0060535E" w:rsidRDefault="0060535E" w:rsidP="0060535E">
      <w:pPr>
        <w:spacing w:after="0" w:line="336" w:lineRule="atLeast"/>
        <w:rPr>
          <w:rFonts w:ascii="Arial" w:eastAsia="Times New Roman" w:hAnsi="Arial" w:cs="Arial"/>
          <w:color w:val="000000"/>
          <w:sz w:val="18"/>
          <w:szCs w:val="18"/>
          <w:lang w:val="en"/>
        </w:rPr>
      </w:pPr>
      <w:r w:rsidRPr="0060535E">
        <w:rPr>
          <w:rFonts w:ascii="Arial" w:eastAsia="Times New Roman" w:hAnsi="Arial" w:cs="Arial"/>
          <w:color w:val="000000"/>
          <w:sz w:val="15"/>
          <w:szCs w:val="15"/>
          <w:vertAlign w:val="superscript"/>
          <w:lang w:val="en"/>
        </w:rPr>
        <w:t>1</w:t>
      </w:r>
      <w:r w:rsidRPr="0060535E">
        <w:rPr>
          <w:rFonts w:ascii="Arial" w:eastAsia="Times New Roman" w:hAnsi="Arial" w:cs="Arial"/>
          <w:color w:val="000000"/>
          <w:sz w:val="18"/>
          <w:szCs w:val="18"/>
          <w:lang w:val="en"/>
        </w:rPr>
        <w:t>Except those whose parents are unable to borrow a PLUS loan.</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2</w:t>
      </w:r>
      <w:r w:rsidRPr="0060535E">
        <w:rPr>
          <w:rFonts w:ascii="Arial" w:eastAsia="Times New Roman" w:hAnsi="Arial" w:cs="Arial"/>
          <w:color w:val="000000"/>
          <w:sz w:val="18"/>
          <w:szCs w:val="18"/>
          <w:lang w:val="en"/>
        </w:rPr>
        <w:t>These limits also apply to dependent students whose parents are unable to borrow a PLUS loan.</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3</w:t>
      </w:r>
      <w:r w:rsidRPr="0060535E">
        <w:rPr>
          <w:rFonts w:ascii="Arial" w:eastAsia="Times New Roman" w:hAnsi="Arial" w:cs="Arial"/>
          <w:color w:val="000000"/>
          <w:sz w:val="18"/>
          <w:szCs w:val="18"/>
          <w:lang w:val="en"/>
        </w:rPr>
        <w:t>The numbers in parentheses represent the maximum amount that may be subsidized.</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4</w:t>
      </w:r>
      <w:r w:rsidRPr="0060535E">
        <w:rPr>
          <w:rFonts w:ascii="Arial" w:eastAsia="Times New Roman" w:hAnsi="Arial" w:cs="Arial"/>
          <w:color w:val="000000"/>
          <w:sz w:val="18"/>
          <w:szCs w:val="18"/>
          <w:lang w:val="en"/>
        </w:rPr>
        <w:t>Graduate and professional students are not eligible to receive Direct Subsidized Loans for loan periods beginning on or after July 1, 2012.</w:t>
      </w:r>
      <w:bookmarkStart w:id="0" w:name="_GoBack"/>
      <w:bookmarkEnd w:id="0"/>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5</w:t>
      </w:r>
      <w:r w:rsidRPr="0060535E">
        <w:rPr>
          <w:rFonts w:ascii="Arial" w:eastAsia="Times New Roman" w:hAnsi="Arial" w:cs="Arial"/>
          <w:color w:val="000000"/>
          <w:sz w:val="18"/>
          <w:szCs w:val="18"/>
          <w:lang w:val="en"/>
        </w:rPr>
        <w:t>The aggregate amounts for graduate students include loans for undergraduate study.</w:t>
      </w:r>
    </w:p>
    <w:p w:rsidR="0060535E" w:rsidRPr="0060535E" w:rsidRDefault="0060535E" w:rsidP="0060535E">
      <w:pPr>
        <w:spacing w:after="0" w:line="240" w:lineRule="auto"/>
        <w:rPr>
          <w:rFonts w:ascii="Arial" w:eastAsia="Times New Roman" w:hAnsi="Arial" w:cs="Arial"/>
          <w:color w:val="000000"/>
          <w:sz w:val="18"/>
          <w:szCs w:val="18"/>
          <w:lang w:val="en"/>
        </w:rPr>
      </w:pPr>
    </w:p>
    <w:p w:rsidR="0060535E" w:rsidRPr="0060535E" w:rsidRDefault="0060535E" w:rsidP="0060535E">
      <w:pPr>
        <w:spacing w:after="75" w:line="336" w:lineRule="atLeast"/>
        <w:rPr>
          <w:rFonts w:ascii="Arial" w:eastAsia="Times New Roman" w:hAnsi="Arial" w:cs="Arial"/>
          <w:color w:val="000000"/>
          <w:sz w:val="18"/>
          <w:szCs w:val="18"/>
          <w:lang w:val="en"/>
        </w:rPr>
      </w:pPr>
      <w:r w:rsidRPr="0060535E">
        <w:rPr>
          <w:rFonts w:ascii="Arial" w:eastAsia="Times New Roman" w:hAnsi="Arial" w:cs="Arial"/>
          <w:color w:val="000000"/>
          <w:sz w:val="18"/>
          <w:szCs w:val="18"/>
          <w:lang w:val="en"/>
        </w:rPr>
        <w:t>The actual loan amount you are eligible to receive for an academic year is determined by your school and may be less than the maximum annual amounts shown in the chart above. The aggregate limits include both Direct Subsidized and Unsubsidized Loans and any subsidized and unsubsidized Stafford Loans received through the Federal Family Education Loan (FFEL) Program.</w:t>
      </w:r>
    </w:p>
    <w:p w:rsidR="00C82A92" w:rsidRDefault="0060535E" w:rsidP="002D2387">
      <w:pPr>
        <w:spacing w:after="75" w:line="336" w:lineRule="atLeast"/>
      </w:pPr>
      <w:r w:rsidRPr="0060535E">
        <w:rPr>
          <w:rFonts w:ascii="Arial" w:eastAsia="Times New Roman" w:hAnsi="Arial" w:cs="Arial"/>
          <w:color w:val="000000"/>
          <w:sz w:val="18"/>
          <w:szCs w:val="18"/>
          <w:lang w:val="en"/>
        </w:rPr>
        <w:t>With a Direct PLUS Loan, a graduate/professional student or the parent of a dependent student can borrow up to the cost of the student's attendance minus other financial aid the student receives.</w:t>
      </w:r>
    </w:p>
    <w:sectPr w:rsidR="00C82A92" w:rsidSect="000C3FBC">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27" w:rsidRDefault="00F44C27" w:rsidP="00DE66FC">
      <w:pPr>
        <w:spacing w:after="0" w:line="240" w:lineRule="auto"/>
      </w:pPr>
      <w:r>
        <w:separator/>
      </w:r>
    </w:p>
  </w:endnote>
  <w:endnote w:type="continuationSeparator" w:id="0">
    <w:p w:rsidR="00F44C27" w:rsidRDefault="00F44C27" w:rsidP="00DE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27" w:rsidRDefault="00F44C27" w:rsidP="00DE66FC">
      <w:pPr>
        <w:spacing w:after="0" w:line="240" w:lineRule="auto"/>
      </w:pPr>
      <w:r>
        <w:separator/>
      </w:r>
    </w:p>
  </w:footnote>
  <w:footnote w:type="continuationSeparator" w:id="0">
    <w:p w:rsidR="00F44C27" w:rsidRDefault="00F44C27" w:rsidP="00DE6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Header"/>
    </w:pPr>
    <w:r>
      <w:t>July 2015</w:t>
    </w:r>
  </w:p>
  <w:p w:rsidR="00DE66FC" w:rsidRDefault="00DE66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C" w:rsidRDefault="00DE6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5E"/>
    <w:rsid w:val="000C3FBC"/>
    <w:rsid w:val="001A0E78"/>
    <w:rsid w:val="001B00DD"/>
    <w:rsid w:val="002D2387"/>
    <w:rsid w:val="004F4220"/>
    <w:rsid w:val="0060535E"/>
    <w:rsid w:val="00650564"/>
    <w:rsid w:val="00675850"/>
    <w:rsid w:val="007915D0"/>
    <w:rsid w:val="008A50EC"/>
    <w:rsid w:val="009413C7"/>
    <w:rsid w:val="00BD1CF1"/>
    <w:rsid w:val="00BF0225"/>
    <w:rsid w:val="00C82A92"/>
    <w:rsid w:val="00DE66FC"/>
    <w:rsid w:val="00F4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6FC"/>
  </w:style>
  <w:style w:type="paragraph" w:styleId="Footer">
    <w:name w:val="footer"/>
    <w:basedOn w:val="Normal"/>
    <w:link w:val="FooterChar"/>
    <w:uiPriority w:val="99"/>
    <w:unhideWhenUsed/>
    <w:rsid w:val="00DE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6FC"/>
  </w:style>
  <w:style w:type="paragraph" w:styleId="Footer">
    <w:name w:val="footer"/>
    <w:basedOn w:val="Normal"/>
    <w:link w:val="FooterChar"/>
    <w:uiPriority w:val="99"/>
    <w:unhideWhenUsed/>
    <w:rsid w:val="00DE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38571">
      <w:bodyDiv w:val="1"/>
      <w:marLeft w:val="0"/>
      <w:marRight w:val="0"/>
      <w:marTop w:val="0"/>
      <w:marBottom w:val="0"/>
      <w:divBdr>
        <w:top w:val="none" w:sz="0" w:space="0" w:color="auto"/>
        <w:left w:val="none" w:sz="0" w:space="0" w:color="auto"/>
        <w:bottom w:val="none" w:sz="0" w:space="0" w:color="auto"/>
        <w:right w:val="none" w:sz="0" w:space="0" w:color="auto"/>
      </w:divBdr>
      <w:divsChild>
        <w:div w:id="1875849076">
          <w:marLeft w:val="0"/>
          <w:marRight w:val="0"/>
          <w:marTop w:val="0"/>
          <w:marBottom w:val="0"/>
          <w:divBdr>
            <w:top w:val="none" w:sz="0" w:space="0" w:color="auto"/>
            <w:left w:val="none" w:sz="0" w:space="0" w:color="auto"/>
            <w:bottom w:val="none" w:sz="0" w:space="0" w:color="auto"/>
            <w:right w:val="none" w:sz="0" w:space="0" w:color="auto"/>
          </w:divBdr>
          <w:divsChild>
            <w:div w:id="1763986617">
              <w:marLeft w:val="0"/>
              <w:marRight w:val="0"/>
              <w:marTop w:val="0"/>
              <w:marBottom w:val="0"/>
              <w:divBdr>
                <w:top w:val="none" w:sz="0" w:space="0" w:color="auto"/>
                <w:left w:val="none" w:sz="0" w:space="0" w:color="auto"/>
                <w:bottom w:val="none" w:sz="0" w:space="0" w:color="auto"/>
                <w:right w:val="none" w:sz="0" w:space="0" w:color="auto"/>
              </w:divBdr>
              <w:divsChild>
                <w:div w:id="1914856281">
                  <w:marLeft w:val="0"/>
                  <w:marRight w:val="0"/>
                  <w:marTop w:val="0"/>
                  <w:marBottom w:val="0"/>
                  <w:divBdr>
                    <w:top w:val="none" w:sz="0" w:space="0" w:color="auto"/>
                    <w:left w:val="none" w:sz="0" w:space="0" w:color="auto"/>
                    <w:bottom w:val="none" w:sz="0" w:space="0" w:color="auto"/>
                    <w:right w:val="none" w:sz="0" w:space="0" w:color="auto"/>
                  </w:divBdr>
                  <w:divsChild>
                    <w:div w:id="17721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 Consultant</dc:creator>
  <cp:lastModifiedBy>Jane Hope Medical Institute</cp:lastModifiedBy>
  <cp:revision>2</cp:revision>
  <dcterms:created xsi:type="dcterms:W3CDTF">2015-09-04T03:34:00Z</dcterms:created>
  <dcterms:modified xsi:type="dcterms:W3CDTF">2015-09-04T03:34:00Z</dcterms:modified>
</cp:coreProperties>
</file>