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3E44" w14:textId="77777777" w:rsidR="00A705FB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52CCB729" w14:textId="77777777" w:rsidR="00A705FB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29B9490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27F2A">
        <w:rPr>
          <w:rFonts w:asciiTheme="majorHAnsi" w:hAnsiTheme="majorHAnsi" w:cstheme="majorHAnsi"/>
          <w:b/>
          <w:color w:val="000000"/>
        </w:rPr>
        <w:t>SYLABUS</w:t>
      </w:r>
    </w:p>
    <w:p w14:paraId="759F04AB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27F2A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70830257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A705FB" w:rsidRPr="00427F2A" w14:paraId="6BC4926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CFDA4E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9AD633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</w:rPr>
              <w:t>Podstawy analizy przeżycia</w:t>
            </w:r>
          </w:p>
        </w:tc>
      </w:tr>
      <w:tr w:rsidR="00A705FB" w:rsidRPr="00427F2A" w14:paraId="4B27799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F30FCD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56191E9" w14:textId="25D58B81" w:rsidR="00A705FB" w:rsidRPr="00427F2A" w:rsidRDefault="00B977C4" w:rsidP="00005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0050E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A705FB" w:rsidRPr="00427F2A" w14:paraId="5C0128E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46FE5C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3CDDF6E" w14:textId="23014606" w:rsidR="00A705FB" w:rsidRPr="00427F2A" w:rsidRDefault="00FE011E" w:rsidP="00B977C4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biostatystyka</w:t>
            </w:r>
            <w:bookmarkStart w:id="0" w:name="_GoBack"/>
            <w:bookmarkEnd w:id="0"/>
            <w:r w:rsidR="00B977C4" w:rsidRPr="00427F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@umb.edu.pl </w:t>
            </w:r>
          </w:p>
        </w:tc>
      </w:tr>
      <w:tr w:rsidR="00A705FB" w:rsidRPr="00427F2A" w14:paraId="410EEE09" w14:textId="77777777">
        <w:trPr>
          <w:jc w:val="center"/>
        </w:trPr>
        <w:tc>
          <w:tcPr>
            <w:tcW w:w="2442" w:type="dxa"/>
            <w:vAlign w:val="center"/>
          </w:tcPr>
          <w:p w14:paraId="338BB4C9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1A34EB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A705FB" w:rsidRPr="00427F2A" w14:paraId="05D0A1A5" w14:textId="77777777">
        <w:trPr>
          <w:jc w:val="center"/>
        </w:trPr>
        <w:tc>
          <w:tcPr>
            <w:tcW w:w="2442" w:type="dxa"/>
            <w:vAlign w:val="center"/>
          </w:tcPr>
          <w:p w14:paraId="74CEB44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8E6B59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A705FB" w:rsidRPr="00427F2A" w14:paraId="78B85530" w14:textId="77777777">
        <w:trPr>
          <w:jc w:val="center"/>
        </w:trPr>
        <w:tc>
          <w:tcPr>
            <w:tcW w:w="2442" w:type="dxa"/>
            <w:vAlign w:val="center"/>
          </w:tcPr>
          <w:p w14:paraId="2FD5F73B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E7A666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A705FB" w:rsidRPr="00427F2A" w14:paraId="1A981EF0" w14:textId="77777777">
        <w:trPr>
          <w:jc w:val="center"/>
        </w:trPr>
        <w:tc>
          <w:tcPr>
            <w:tcW w:w="2442" w:type="dxa"/>
            <w:vAlign w:val="center"/>
          </w:tcPr>
          <w:p w14:paraId="52A8FA5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799993A" w14:textId="5376E9DD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A705FB" w:rsidRPr="00427F2A" w14:paraId="423ED08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8E7A0F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9183F3D" w14:textId="7680CB99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A705FB" w:rsidRPr="00427F2A" w14:paraId="5E9AB411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ED22B1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FCD35ED" w14:textId="5EE674E9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A705FB" w:rsidRPr="00427F2A" w14:paraId="785A01BD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FFACA6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3332C7B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5B2BE91" w14:textId="74FDE904" w:rsidR="00A705FB" w:rsidRPr="00427F2A" w:rsidRDefault="00B977C4" w:rsidP="0042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5458DB4" w14:textId="42253F2F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A705FB" w:rsidRPr="00427F2A" w14:paraId="1468741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001973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812CDA8" w14:textId="4277DDAC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Podstawy wnioskowania statystycznego </w:t>
            </w:r>
          </w:p>
        </w:tc>
      </w:tr>
      <w:tr w:rsidR="00A705FB" w:rsidRPr="00427F2A" w14:paraId="331DC3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63B13F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2768E62" w14:textId="77777777" w:rsidR="00A52A4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237AA522" w14:textId="027E5E6C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05FB" w:rsidRPr="00427F2A" w14:paraId="390DDCC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7D357D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1DD122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metodami analizy danych cenzurowanych, a w szczególności cenzurowanego czasu do wystąpienia zdarzenia</w:t>
            </w:r>
          </w:p>
        </w:tc>
      </w:tr>
      <w:tr w:rsidR="00A52A4B" w:rsidRPr="00427F2A" w14:paraId="7B43ACA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3DB6EC5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4356969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080466E" w14:textId="77777777" w:rsidR="00A52A4B" w:rsidRPr="00427F2A" w:rsidRDefault="00A52A4B" w:rsidP="00A52A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37CAD46A" w14:textId="1911662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Ćwiczenia: ćwiczenia przy stanowisku komputerowym</w:t>
            </w:r>
          </w:p>
        </w:tc>
      </w:tr>
      <w:tr w:rsidR="00A52A4B" w:rsidRPr="00427F2A" w14:paraId="7EBCFFF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E42EA04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18187E96" w14:textId="1C035741" w:rsidR="00A52A4B" w:rsidRPr="00427F2A" w:rsidRDefault="00A52A4B" w:rsidP="00CD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CD5CD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A52A4B" w:rsidRPr="00427F2A" w14:paraId="33979FA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B42E13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22586140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5AD3B2FC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A705FB" w:rsidRPr="00427F2A" w14:paraId="1E5864C3" w14:textId="77777777">
        <w:trPr>
          <w:jc w:val="center"/>
        </w:trPr>
        <w:tc>
          <w:tcPr>
            <w:tcW w:w="983" w:type="dxa"/>
            <w:vAlign w:val="center"/>
          </w:tcPr>
          <w:p w14:paraId="0686630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6C9222E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D52524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A2A938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99A6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5603E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2E10A6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A705FB" w:rsidRPr="00427F2A" w14:paraId="67DA83F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01E5CC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A705FB" w:rsidRPr="00427F2A" w14:paraId="70E586C6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50507E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46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DD23B" w14:textId="5679E225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i testy stosowane w analizie przeżycia</w:t>
            </w:r>
            <w:r w:rsidR="00A52A4B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7180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724C84" w14:textId="210AD35F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2BEE3AB9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D4F8BB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egzamin pisemny </w:t>
            </w:r>
          </w:p>
          <w:p w14:paraId="1FAFFAB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333041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FCEF04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A705FB" w:rsidRPr="00427F2A" w14:paraId="5C8D122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703AD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A705FB" w:rsidRPr="00427F2A" w14:paraId="148DD1E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AFE6525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7B0365" w14:textId="1CE596E3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Umie posługiwać się technikami analizy przeżycia oraz dopasować odpowiednie modele do danych dotyczących czasu wystąpienia zdarzenia</w:t>
            </w:r>
            <w:r w:rsidR="00A52A4B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E3A6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C53F71B" w14:textId="7D54D820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C3BB7A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A014A6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2E90F97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ABEF0B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5A2690C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A705FB" w:rsidRPr="00427F2A" w14:paraId="7E5EC03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FBA650F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CC3B7A1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88AC3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4A00433" w14:textId="18631D22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9CDFC8E" w14:textId="77777777" w:rsidR="00A705FB" w:rsidRPr="00427F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1891031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4017FD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A705FB" w:rsidRPr="00427F2A" w14:paraId="5E6658F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E30497F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</w:t>
            </w:r>
          </w:p>
          <w:p w14:paraId="6D805331" w14:textId="77777777" w:rsidR="00A705FB" w:rsidRPr="00427F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F0478A2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4C62E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8398C4" w14:textId="6C2E81FD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0288910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4C30ED9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0C17CC9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80FBA2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</w:tc>
      </w:tr>
      <w:tr w:rsidR="00A705FB" w:rsidRPr="00427F2A" w14:paraId="5D8BF35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76EF46A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  <w:p w14:paraId="16A33857" w14:textId="77777777" w:rsidR="00A705FB" w:rsidRPr="00427F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EB50D11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30623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CF5910" w14:textId="72A76CFA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13988751" w14:textId="77777777" w:rsidR="00A705FB" w:rsidRPr="00427F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66771B8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03EE75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  <w:p w14:paraId="7ADFD6C4" w14:textId="77777777" w:rsidR="00A705FB" w:rsidRPr="00427F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83F1C5A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FB257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D98102" w14:textId="1354B416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B36F58D" w14:textId="77777777" w:rsidR="00A705FB" w:rsidRPr="00427F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2680D2C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A705FB" w:rsidRPr="00427F2A" w14:paraId="10C3F5D2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6CCDFF8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5D03D1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A705FB" w:rsidRPr="00427F2A" w14:paraId="29514D0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8BA2CB1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A705FB" w:rsidRPr="00427F2A" w14:paraId="3C34DF58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CE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8EB3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A705FB" w:rsidRPr="00427F2A" w14:paraId="011FE73C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9138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A705FB" w:rsidRPr="00427F2A" w14:paraId="3B2ACF5E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A890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65E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A705FB" w:rsidRPr="00427F2A" w14:paraId="63ADA96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2695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F0F5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A705FB" w:rsidRPr="00427F2A" w14:paraId="3AE9BB0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5C18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EBF9D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0A38170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094F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6E8A6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639C96E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1309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F46C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69DFB8F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A9DC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2082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A705FB" w:rsidRPr="00427F2A" w14:paraId="71A03161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6C73AF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642EC749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A705FB" w:rsidRPr="00427F2A" w14:paraId="5B4EB23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4BBA" w14:textId="77777777" w:rsidR="00A705FB" w:rsidRPr="00427F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CF13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A705FB" w:rsidRPr="00427F2A" w14:paraId="0EEC9800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66CF" w14:textId="77777777" w:rsidR="00A705FB" w:rsidRPr="00427F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D0A2F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05081C68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F332" w14:textId="77777777" w:rsidR="00A705FB" w:rsidRPr="00427F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18BA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A705FB" w:rsidRPr="00427F2A" w14:paraId="7C97784F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3669DF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884A4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59EF7724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427F2A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A705FB" w:rsidRPr="00427F2A" w14:paraId="5B508B16" w14:textId="77777777" w:rsidTr="00B977C4">
        <w:tc>
          <w:tcPr>
            <w:tcW w:w="10206" w:type="dxa"/>
            <w:gridSpan w:val="2"/>
          </w:tcPr>
          <w:p w14:paraId="52BA9770" w14:textId="2C21E590" w:rsidR="00A705FB" w:rsidRPr="00427F2A" w:rsidRDefault="00B977C4" w:rsidP="0092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A705FB" w:rsidRPr="00427F2A" w14:paraId="5BA460B3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BF4BE4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3735A51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00ADBF1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A705FB" w:rsidRPr="00427F2A" w14:paraId="22DC6590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C1E9D0D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46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D7BD66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Cenzurowanie, ucinanie, funkcja hazardu, funkcja przeżycia.</w:t>
            </w:r>
          </w:p>
        </w:tc>
      </w:tr>
      <w:tr w:rsidR="00A705FB" w:rsidRPr="00427F2A" w14:paraId="7843DA64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3117BB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26859A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Rozkłady (wykładniczy,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Weibulla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log-normalny)</w:t>
            </w:r>
          </w:p>
        </w:tc>
      </w:tr>
      <w:tr w:rsidR="00A705FB" w:rsidRPr="00427F2A" w14:paraId="046E38B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E1E2B29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66AA5F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Estymator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Kapalna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Meiera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prawdopodobieństwa przeżycia, szacowanie błędu standardowego, przedział ufności, szacowanie mediany czasu przeżycia.</w:t>
            </w:r>
          </w:p>
        </w:tc>
      </w:tr>
      <w:tr w:rsidR="00A705FB" w:rsidRPr="00427F2A" w14:paraId="117243C6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383B176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3BA69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logrank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ważone alternatywy, test na trend, test warstwowy.</w:t>
            </w:r>
          </w:p>
        </w:tc>
      </w:tr>
      <w:tr w:rsidR="00A705FB" w:rsidRPr="00427F2A" w14:paraId="42186F5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79ECBC2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1FBC09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proporcjonalnych hazardów: sformułowanie, szacowanie współczynników, diagnostyka; model warstwowy</w:t>
            </w:r>
          </w:p>
        </w:tc>
      </w:tr>
      <w:tr w:rsidR="00A705FB" w:rsidRPr="00427F2A" w14:paraId="55C7AF9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E75556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65AD5C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przyśpieszonego czasu do niepowodzenia: sformułowanie, szacowanie współczynników, diagnostyka</w:t>
            </w:r>
          </w:p>
        </w:tc>
      </w:tr>
      <w:tr w:rsidR="00A705FB" w:rsidRPr="00427F2A" w14:paraId="24571037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A9446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0B2BF0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Praktyczne stosowanie metod analizy przeżycia przy użyciu programów statystycznych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SAS, R</w:t>
            </w:r>
          </w:p>
        </w:tc>
      </w:tr>
    </w:tbl>
    <w:p w14:paraId="3B15C8F3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705FB" w:rsidRPr="00427F2A" w14:paraId="7C892FCD" w14:textId="77777777" w:rsidTr="00B977C4">
        <w:tc>
          <w:tcPr>
            <w:tcW w:w="10206" w:type="dxa"/>
          </w:tcPr>
          <w:p w14:paraId="4DCAEA3E" w14:textId="4F3DB72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A705FB" w:rsidRPr="00427F2A" w14:paraId="050A1CF8" w14:textId="77777777" w:rsidTr="00B977C4">
        <w:tc>
          <w:tcPr>
            <w:tcW w:w="10206" w:type="dxa"/>
          </w:tcPr>
          <w:p w14:paraId="35FBBF2A" w14:textId="77777777" w:rsidR="00A705FB" w:rsidRPr="00427F2A" w:rsidRDefault="00B977C4" w:rsidP="00B977C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Collett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in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CRC Press, 2014.</w:t>
            </w:r>
          </w:p>
          <w:p w14:paraId="15E1731F" w14:textId="77777777" w:rsidR="00A705FB" w:rsidRPr="00427F2A" w:rsidRDefault="00B977C4" w:rsidP="00B977C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3. Analizy wielowymiarowe.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StatSoft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2007.</w:t>
            </w:r>
          </w:p>
        </w:tc>
      </w:tr>
      <w:tr w:rsidR="00A705FB" w:rsidRPr="00427F2A" w14:paraId="330BB351" w14:textId="77777777" w:rsidTr="00B977C4">
        <w:tc>
          <w:tcPr>
            <w:tcW w:w="10206" w:type="dxa"/>
          </w:tcPr>
          <w:p w14:paraId="70060C1D" w14:textId="0DA830E8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A705FB" w:rsidRPr="00427F2A" w14:paraId="0FB87771" w14:textId="77777777" w:rsidTr="00B977C4">
        <w:tc>
          <w:tcPr>
            <w:tcW w:w="10206" w:type="dxa"/>
          </w:tcPr>
          <w:p w14:paraId="62EAEACA" w14:textId="527FD5C1" w:rsidR="00A705FB" w:rsidRPr="00427F2A" w:rsidRDefault="00B977C4" w:rsidP="00B977C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T. M.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Therneau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P. M.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Grambsch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Extending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Cox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Model.Springer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2000.</w:t>
            </w:r>
          </w:p>
          <w:p w14:paraId="693E2258" w14:textId="3E91106C" w:rsidR="00A705FB" w:rsidRPr="00427F2A" w:rsidRDefault="00B977C4" w:rsidP="00B977C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A. Balicki. Analiza przeżycia i tablice wymieralności. Polskie Wydawnictwo Ekonomiczne, 2006.</w:t>
            </w:r>
          </w:p>
        </w:tc>
      </w:tr>
    </w:tbl>
    <w:p w14:paraId="32CAEBFD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705FB" w:rsidRPr="00427F2A" w14:paraId="0A77FBC6" w14:textId="77777777" w:rsidTr="00B977C4">
        <w:tc>
          <w:tcPr>
            <w:tcW w:w="10206" w:type="dxa"/>
          </w:tcPr>
          <w:p w14:paraId="2DCC1CC2" w14:textId="3CE5DFC2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A705FB" w:rsidRPr="00427F2A" w14:paraId="4743D049" w14:textId="77777777" w:rsidTr="00B977C4">
        <w:tc>
          <w:tcPr>
            <w:tcW w:w="10206" w:type="dxa"/>
          </w:tcPr>
          <w:p w14:paraId="52B6D921" w14:textId="4BE14074" w:rsidR="00A705FB" w:rsidRPr="00427F2A" w:rsidRDefault="00B977C4" w:rsidP="0042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4BB49FE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3.0: Student uzyskał min. 50% sumy punktów.</w:t>
            </w:r>
          </w:p>
          <w:p w14:paraId="6B68383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Ocena 3.5: Student uzyskał min. 60% sumy punktów.</w:t>
            </w:r>
          </w:p>
          <w:p w14:paraId="184260A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4.0: Student uzyskał min. 70% sumy punktów.</w:t>
            </w:r>
          </w:p>
          <w:p w14:paraId="45823D6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4.5: Student uzyskał min. 80% sumy punktów.</w:t>
            </w:r>
          </w:p>
          <w:p w14:paraId="3079AF3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5.0: Student uzyskał min. 90% sumy punktów.</w:t>
            </w:r>
          </w:p>
        </w:tc>
      </w:tr>
    </w:tbl>
    <w:p w14:paraId="0F9A4B4D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D478717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C164716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B1E6A3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CE9FEA3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AC536C6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27F2A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7AD35239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427F2A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A705FB" w:rsidRPr="00427F2A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656D"/>
    <w:multiLevelType w:val="hybridMultilevel"/>
    <w:tmpl w:val="AA4800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5216692"/>
    <w:multiLevelType w:val="multilevel"/>
    <w:tmpl w:val="6C36F3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7420018"/>
    <w:multiLevelType w:val="multilevel"/>
    <w:tmpl w:val="9A66E1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2F6AFD"/>
    <w:multiLevelType w:val="hybridMultilevel"/>
    <w:tmpl w:val="6040E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FB"/>
    <w:rsid w:val="000050EB"/>
    <w:rsid w:val="003A1000"/>
    <w:rsid w:val="00427F2A"/>
    <w:rsid w:val="009267AD"/>
    <w:rsid w:val="00A52A4B"/>
    <w:rsid w:val="00A705FB"/>
    <w:rsid w:val="00B977C4"/>
    <w:rsid w:val="00CD5CD8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67B5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p4nKGRHcxuxvYCDlsHZhYnQVw==">AMUW2mVesn+2TnaPQdx8ZvjShdNLRPCXw1jNYJ5z0Ez1QY3v1pIS64ywXN7G6AhiCa0yHF8c2lvgc8cZ03KqVCsKbotIqKYqZ40OTgHCZgtfDGPxRgG4Peg=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2022-07-12T07:57:00Z</dcterms:created>
  <dcterms:modified xsi:type="dcterms:W3CDTF">2023-11-20T09:13:00Z</dcterms:modified>
</cp:coreProperties>
</file>