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A1E" w:rsidRPr="00D92678" w:rsidRDefault="009F0A1E" w:rsidP="009F0A1E">
      <w:pPr>
        <w:pStyle w:val="Nagwek1"/>
        <w:tabs>
          <w:tab w:val="left" w:pos="1409"/>
        </w:tabs>
        <w:spacing w:before="83"/>
        <w:ind w:left="871" w:firstLine="0"/>
        <w:rPr>
          <w:lang w:val="en-US"/>
        </w:rPr>
      </w:pPr>
      <w:r w:rsidRPr="00D92678">
        <w:rPr>
          <w:lang w:val="en-US"/>
        </w:rPr>
        <w:t>Abstract</w:t>
      </w:r>
    </w:p>
    <w:p w:rsidR="009F0A1E" w:rsidRPr="00D92678" w:rsidRDefault="009F0A1E" w:rsidP="009F0A1E">
      <w:pPr>
        <w:pStyle w:val="Tekstpodstawowy"/>
        <w:rPr>
          <w:b/>
          <w:lang w:val="en-US"/>
        </w:rPr>
      </w:pPr>
    </w:p>
    <w:p w:rsidR="009F0A1E" w:rsidRPr="00D92678" w:rsidRDefault="009F0A1E" w:rsidP="009F0A1E">
      <w:pPr>
        <w:pStyle w:val="Tekstpodstawowy"/>
        <w:spacing w:line="480" w:lineRule="auto"/>
        <w:ind w:left="871" w:right="488" w:firstLine="566"/>
        <w:jc w:val="both"/>
        <w:rPr>
          <w:lang w:val="en-US"/>
        </w:rPr>
      </w:pPr>
      <w:r w:rsidRPr="00D92678">
        <w:rPr>
          <w:lang w:val="en-US"/>
        </w:rPr>
        <w:t>Drug hypersensitivity reactions induced by drugs and substances using to perform anesthesia are not frequent,  but  very  serious  in  the  course and prognosis of anesthesia. Among many pharmacological substances used</w:t>
      </w:r>
      <w:r>
        <w:rPr>
          <w:lang w:val="en-US"/>
        </w:rPr>
        <w:t xml:space="preserve">    </w:t>
      </w:r>
      <w:r w:rsidRPr="00D92678">
        <w:rPr>
          <w:lang w:val="en-US"/>
        </w:rPr>
        <w:t xml:space="preserve"> in the perioperative period, the using of neuromuscular blocking agents, in particular </w:t>
      </w:r>
      <w:proofErr w:type="spellStart"/>
      <w:r w:rsidRPr="00D92678">
        <w:rPr>
          <w:lang w:val="en-US"/>
        </w:rPr>
        <w:t>rocuronium</w:t>
      </w:r>
      <w:proofErr w:type="spellEnd"/>
      <w:r w:rsidRPr="00D92678">
        <w:rPr>
          <w:lang w:val="en-US"/>
        </w:rPr>
        <w:t>, is the most common cause of hypersensitivity reactions. Due to the fact that hypersensitivity reactions to volatile anesthetics have not been demonstrated, only volatile induction and maintenance of anesthesia (VIMA) do not pose a risk of hypersensitivity reactions.</w:t>
      </w:r>
    </w:p>
    <w:p w:rsidR="009F0A1E" w:rsidRPr="00D92678" w:rsidRDefault="009F0A1E" w:rsidP="009F0A1E">
      <w:pPr>
        <w:pStyle w:val="Tekstpodstawowy"/>
        <w:spacing w:before="1" w:line="480" w:lineRule="auto"/>
        <w:ind w:left="871" w:right="489" w:firstLine="566"/>
        <w:jc w:val="both"/>
        <w:rPr>
          <w:lang w:val="en-US"/>
        </w:rPr>
      </w:pPr>
      <w:proofErr w:type="spellStart"/>
      <w:r w:rsidRPr="00D92678">
        <w:rPr>
          <w:lang w:val="en-US"/>
        </w:rPr>
        <w:t>Rocuronium</w:t>
      </w:r>
      <w:proofErr w:type="spellEnd"/>
      <w:r w:rsidRPr="00D92678">
        <w:rPr>
          <w:lang w:val="en-US"/>
        </w:rPr>
        <w:t xml:space="preserve"> - a steroid neuromuscular blocking agent, due to its favorable pharmacokinetic and </w:t>
      </w:r>
      <w:proofErr w:type="spellStart"/>
      <w:r w:rsidRPr="00D92678">
        <w:rPr>
          <w:lang w:val="en-US"/>
        </w:rPr>
        <w:t>pharmacodynamic</w:t>
      </w:r>
      <w:proofErr w:type="spellEnd"/>
      <w:r w:rsidRPr="00D92678">
        <w:rPr>
          <w:lang w:val="en-US"/>
        </w:rPr>
        <w:t xml:space="preserve"> parameters, is widely used in </w:t>
      </w:r>
      <w:proofErr w:type="spellStart"/>
      <w:r w:rsidRPr="00D92678">
        <w:rPr>
          <w:lang w:val="en-US"/>
        </w:rPr>
        <w:t>anaesthesiology</w:t>
      </w:r>
      <w:proofErr w:type="spellEnd"/>
      <w:r w:rsidRPr="00D92678">
        <w:rPr>
          <w:lang w:val="en-US"/>
        </w:rPr>
        <w:t xml:space="preserve">. Many reports indicate the highest proportion of this agent in triggering hypersensitivity reactions during general anesthesia. Therefore, the aim of the study was to assess the effect of volatile induction and maintenance of anesthesia with the using of </w:t>
      </w:r>
      <w:proofErr w:type="spellStart"/>
      <w:r w:rsidRPr="00D92678">
        <w:rPr>
          <w:lang w:val="en-US"/>
        </w:rPr>
        <w:t>rocuronium</w:t>
      </w:r>
      <w:proofErr w:type="spellEnd"/>
      <w:r w:rsidRPr="00D92678">
        <w:rPr>
          <w:lang w:val="en-US"/>
        </w:rPr>
        <w:t xml:space="preserve"> on serum </w:t>
      </w:r>
      <w:proofErr w:type="spellStart"/>
      <w:r w:rsidRPr="00D92678">
        <w:rPr>
          <w:lang w:val="en-US"/>
        </w:rPr>
        <w:t>tryptase</w:t>
      </w:r>
      <w:proofErr w:type="spellEnd"/>
      <w:r w:rsidRPr="00D92678">
        <w:rPr>
          <w:lang w:val="en-US"/>
        </w:rPr>
        <w:t xml:space="preserve"> concentration - the main mediator of hypersensitivity reactions. The study also examined the correlations between serum </w:t>
      </w:r>
      <w:proofErr w:type="spellStart"/>
      <w:r w:rsidRPr="00D92678">
        <w:rPr>
          <w:lang w:val="en-US"/>
        </w:rPr>
        <w:t>tryptase</w:t>
      </w:r>
      <w:proofErr w:type="spellEnd"/>
      <w:r w:rsidRPr="00D92678">
        <w:rPr>
          <w:lang w:val="en-US"/>
        </w:rPr>
        <w:t xml:space="preserve"> concentrations during </w:t>
      </w:r>
      <w:proofErr w:type="spellStart"/>
      <w:r w:rsidRPr="00D92678">
        <w:rPr>
          <w:lang w:val="en-US"/>
        </w:rPr>
        <w:t>anaesthesia</w:t>
      </w:r>
      <w:proofErr w:type="spellEnd"/>
      <w:r w:rsidRPr="00D92678">
        <w:rPr>
          <w:lang w:val="en-US"/>
        </w:rPr>
        <w:t xml:space="preserve"> and patient’s anthropometric indicators and factors related to the course of surgery </w:t>
      </w:r>
      <w:proofErr w:type="spellStart"/>
      <w:r w:rsidRPr="00D92678">
        <w:rPr>
          <w:lang w:val="en-US"/>
        </w:rPr>
        <w:t>andanesthesia</w:t>
      </w:r>
      <w:proofErr w:type="spellEnd"/>
      <w:r w:rsidRPr="00D92678">
        <w:rPr>
          <w:lang w:val="en-US"/>
        </w:rPr>
        <w:t>.</w:t>
      </w:r>
    </w:p>
    <w:p w:rsidR="009F0A1E" w:rsidRPr="00D92678" w:rsidRDefault="009F0A1E" w:rsidP="009F0A1E">
      <w:pPr>
        <w:pStyle w:val="Tekstpodstawowy"/>
        <w:spacing w:line="480" w:lineRule="auto"/>
        <w:ind w:left="871" w:right="489" w:firstLine="566"/>
        <w:jc w:val="both"/>
        <w:rPr>
          <w:lang w:val="en-US"/>
        </w:rPr>
        <w:sectPr w:rsidR="009F0A1E" w:rsidRPr="00D92678">
          <w:headerReference w:type="default" r:id="rId5"/>
          <w:pgSz w:w="11910" w:h="16840"/>
          <w:pgMar w:top="1320" w:right="640" w:bottom="1040" w:left="1680" w:header="857" w:footer="771" w:gutter="0"/>
          <w:cols w:space="708"/>
        </w:sectPr>
      </w:pPr>
      <w:r w:rsidRPr="00D92678">
        <w:rPr>
          <w:lang w:val="en-US"/>
        </w:rPr>
        <w:t xml:space="preserve">The study was conducted in a group of 126 patients above 18 years  old, without co-existing allergic disorders, </w:t>
      </w:r>
      <w:proofErr w:type="spellStart"/>
      <w:r w:rsidRPr="00D92678">
        <w:rPr>
          <w:lang w:val="en-US"/>
        </w:rPr>
        <w:t>mastocytosis</w:t>
      </w:r>
      <w:proofErr w:type="spellEnd"/>
      <w:r w:rsidRPr="00D92678">
        <w:rPr>
          <w:lang w:val="en-US"/>
        </w:rPr>
        <w:t xml:space="preserve"> and with a negative history of hypersensitivity reactions during anesthesia. The study group consisted of 66 patients qualified for gynecological surgeries undergoing general</w:t>
      </w:r>
      <w:r>
        <w:rPr>
          <w:lang w:val="en-US"/>
        </w:rPr>
        <w:t xml:space="preserve"> </w:t>
      </w:r>
      <w:r w:rsidRPr="00D92678">
        <w:rPr>
          <w:lang w:val="en-US"/>
        </w:rPr>
        <w:t>anesthesia</w:t>
      </w:r>
      <w:r>
        <w:rPr>
          <w:lang w:val="en-US"/>
        </w:rPr>
        <w:t xml:space="preserve"> </w:t>
      </w:r>
      <w:r w:rsidRPr="00D92678">
        <w:rPr>
          <w:lang w:val="en-US"/>
        </w:rPr>
        <w:t>by</w:t>
      </w:r>
      <w:r>
        <w:rPr>
          <w:lang w:val="en-US"/>
        </w:rPr>
        <w:t xml:space="preserve"> </w:t>
      </w:r>
      <w:r w:rsidRPr="00D92678">
        <w:rPr>
          <w:lang w:val="en-US"/>
        </w:rPr>
        <w:t>volatile</w:t>
      </w:r>
      <w:r>
        <w:rPr>
          <w:lang w:val="en-US"/>
        </w:rPr>
        <w:t xml:space="preserve"> </w:t>
      </w:r>
      <w:r w:rsidRPr="00D92678">
        <w:rPr>
          <w:lang w:val="en-US"/>
        </w:rPr>
        <w:t>induction</w:t>
      </w:r>
      <w:r>
        <w:rPr>
          <w:lang w:val="en-US"/>
        </w:rPr>
        <w:t xml:space="preserve"> </w:t>
      </w:r>
      <w:r w:rsidRPr="00D92678">
        <w:rPr>
          <w:lang w:val="en-US"/>
        </w:rPr>
        <w:t>and</w:t>
      </w:r>
      <w:r>
        <w:rPr>
          <w:lang w:val="en-US"/>
        </w:rPr>
        <w:t xml:space="preserve"> </w:t>
      </w:r>
      <w:r w:rsidRPr="00D92678">
        <w:rPr>
          <w:lang w:val="en-US"/>
        </w:rPr>
        <w:t>maintenance</w:t>
      </w:r>
      <w:r>
        <w:rPr>
          <w:lang w:val="en-US"/>
        </w:rPr>
        <w:t xml:space="preserve"> </w:t>
      </w:r>
      <w:r w:rsidRPr="00D92678">
        <w:rPr>
          <w:lang w:val="en-US"/>
        </w:rPr>
        <w:t>of</w:t>
      </w:r>
      <w:r>
        <w:rPr>
          <w:lang w:val="en-US"/>
        </w:rPr>
        <w:t xml:space="preserve"> </w:t>
      </w:r>
      <w:r w:rsidRPr="00D92678">
        <w:rPr>
          <w:lang w:val="en-US"/>
        </w:rPr>
        <w:t>anesthesia</w:t>
      </w:r>
      <w:r>
        <w:rPr>
          <w:lang w:val="en-US"/>
        </w:rPr>
        <w:t xml:space="preserve"> </w:t>
      </w:r>
      <w:r w:rsidRPr="00D92678">
        <w:rPr>
          <w:lang w:val="en-US"/>
        </w:rPr>
        <w:t>with</w:t>
      </w:r>
    </w:p>
    <w:p w:rsidR="009F0A1E" w:rsidRPr="00D92678" w:rsidRDefault="009F0A1E" w:rsidP="009F0A1E">
      <w:pPr>
        <w:pStyle w:val="Tekstpodstawowy"/>
        <w:spacing w:before="83" w:line="480" w:lineRule="auto"/>
        <w:ind w:left="871" w:right="490"/>
        <w:jc w:val="both"/>
        <w:rPr>
          <w:lang w:val="en-US"/>
        </w:rPr>
      </w:pPr>
      <w:proofErr w:type="spellStart"/>
      <w:r w:rsidRPr="00D92678">
        <w:rPr>
          <w:lang w:val="en-US"/>
        </w:rPr>
        <w:lastRenderedPageBreak/>
        <w:t>sevoflurane</w:t>
      </w:r>
      <w:proofErr w:type="spellEnd"/>
      <w:r w:rsidRPr="00D92678">
        <w:rPr>
          <w:lang w:val="en-US"/>
        </w:rPr>
        <w:t xml:space="preserve"> and a muscle relaxant - </w:t>
      </w:r>
      <w:proofErr w:type="spellStart"/>
      <w:r w:rsidRPr="00D92678">
        <w:rPr>
          <w:lang w:val="en-US"/>
        </w:rPr>
        <w:t>rocuronium</w:t>
      </w:r>
      <w:proofErr w:type="spellEnd"/>
      <w:r w:rsidRPr="00D92678">
        <w:rPr>
          <w:lang w:val="en-US"/>
        </w:rPr>
        <w:t>. The control group consisted of 60 patients qualified for goiter surgery using intraoperative identification of the laryngeal nerves. In this group of patients general anesthesia was performed using the VIMA method without the using of neuromuscular blocking agents.</w:t>
      </w:r>
    </w:p>
    <w:p w:rsidR="009F0A1E" w:rsidRPr="00D92678" w:rsidRDefault="009F0A1E" w:rsidP="009F0A1E">
      <w:pPr>
        <w:pStyle w:val="Tekstpodstawowy"/>
        <w:spacing w:before="1" w:line="480" w:lineRule="auto"/>
        <w:ind w:left="871" w:right="489" w:firstLine="566"/>
        <w:jc w:val="both"/>
        <w:rPr>
          <w:lang w:val="en-US"/>
        </w:rPr>
      </w:pPr>
      <w:r w:rsidRPr="00D92678">
        <w:rPr>
          <w:lang w:val="en-US"/>
        </w:rPr>
        <w:t xml:space="preserve">The pre-operative clinical examination included the assessment of the general condition, associated perioperative risk according to the ASA scale and the determination of anthropometric indicators. Circulatory, </w:t>
      </w:r>
      <w:proofErr w:type="spellStart"/>
      <w:r w:rsidRPr="00D92678">
        <w:rPr>
          <w:lang w:val="en-US"/>
        </w:rPr>
        <w:t>ventilatory</w:t>
      </w:r>
      <w:proofErr w:type="spellEnd"/>
      <w:r w:rsidRPr="00D92678">
        <w:rPr>
          <w:lang w:val="en-US"/>
        </w:rPr>
        <w:t xml:space="preserve"> and respiratory parameters were monitored during anesthesia. In all patients, the duration of anesthesia, the duration of surgery, the amount of applied fluid therapy and the total dose of opioids were determined. In the study group, the following values associated with the using of </w:t>
      </w:r>
      <w:proofErr w:type="spellStart"/>
      <w:r w:rsidRPr="00D92678">
        <w:rPr>
          <w:lang w:val="en-US"/>
        </w:rPr>
        <w:t>rocuronium</w:t>
      </w:r>
      <w:proofErr w:type="spellEnd"/>
      <w:r w:rsidRPr="00D92678">
        <w:rPr>
          <w:lang w:val="en-US"/>
        </w:rPr>
        <w:t xml:space="preserve">: the intubation dose, the infusion dose, the total dose and the duration of the infusion, were additionally noticed. In the postoperative period, the general condition was assessed based on the </w:t>
      </w:r>
      <w:proofErr w:type="spellStart"/>
      <w:r w:rsidRPr="00D92678">
        <w:rPr>
          <w:lang w:val="en-US"/>
        </w:rPr>
        <w:t>Aldrete</w:t>
      </w:r>
      <w:proofErr w:type="spellEnd"/>
      <w:r w:rsidRPr="00D92678">
        <w:rPr>
          <w:lang w:val="en-US"/>
        </w:rPr>
        <w:t xml:space="preserve"> and Steward</w:t>
      </w:r>
      <w:r>
        <w:rPr>
          <w:lang w:val="en-US"/>
        </w:rPr>
        <w:t xml:space="preserve"> </w:t>
      </w:r>
      <w:r w:rsidRPr="00D92678">
        <w:rPr>
          <w:lang w:val="en-US"/>
        </w:rPr>
        <w:t>scales.</w:t>
      </w:r>
    </w:p>
    <w:p w:rsidR="009F0A1E" w:rsidRPr="00D92678" w:rsidRDefault="009F0A1E" w:rsidP="009F0A1E">
      <w:pPr>
        <w:pStyle w:val="Tekstpodstawowy"/>
        <w:spacing w:before="1" w:line="480" w:lineRule="auto"/>
        <w:ind w:left="871" w:right="491" w:firstLine="566"/>
        <w:jc w:val="both"/>
        <w:rPr>
          <w:lang w:val="en-US"/>
        </w:rPr>
      </w:pPr>
      <w:r w:rsidRPr="00D92678">
        <w:rPr>
          <w:lang w:val="en-US"/>
        </w:rPr>
        <w:t xml:space="preserve">In all </w:t>
      </w:r>
      <w:proofErr w:type="spellStart"/>
      <w:r w:rsidRPr="00D92678">
        <w:rPr>
          <w:lang w:val="en-US"/>
        </w:rPr>
        <w:t>patients</w:t>
      </w:r>
      <w:proofErr w:type="spellEnd"/>
      <w:r w:rsidRPr="00D92678">
        <w:rPr>
          <w:lang w:val="en-US"/>
        </w:rPr>
        <w:t xml:space="preserve"> blood samples before induction and after anesthesia were taken for the determination of serum </w:t>
      </w:r>
      <w:proofErr w:type="spellStart"/>
      <w:r w:rsidRPr="00D92678">
        <w:rPr>
          <w:lang w:val="en-US"/>
        </w:rPr>
        <w:t>tryptase</w:t>
      </w:r>
      <w:proofErr w:type="spellEnd"/>
      <w:r w:rsidRPr="00D92678">
        <w:rPr>
          <w:lang w:val="en-US"/>
        </w:rPr>
        <w:t xml:space="preserve"> concentration. In the group of patients undergoing volatile anesthesia with </w:t>
      </w:r>
      <w:proofErr w:type="spellStart"/>
      <w:r w:rsidRPr="00D92678">
        <w:rPr>
          <w:lang w:val="en-US"/>
        </w:rPr>
        <w:t>rocuronium</w:t>
      </w:r>
      <w:proofErr w:type="spellEnd"/>
      <w:r w:rsidRPr="00D92678">
        <w:rPr>
          <w:lang w:val="en-US"/>
        </w:rPr>
        <w:t xml:space="preserve">, blood was also taken to perform the </w:t>
      </w:r>
      <w:proofErr w:type="spellStart"/>
      <w:r w:rsidRPr="00D92678">
        <w:rPr>
          <w:lang w:val="en-US"/>
        </w:rPr>
        <w:t>tryptase</w:t>
      </w:r>
      <w:proofErr w:type="spellEnd"/>
      <w:r w:rsidRPr="00D92678">
        <w:rPr>
          <w:lang w:val="en-US"/>
        </w:rPr>
        <w:t xml:space="preserve">  determination  at  the  end  of  its  infusion.  The obtained results were subjected to statistical</w:t>
      </w:r>
      <w:r>
        <w:rPr>
          <w:lang w:val="en-US"/>
        </w:rPr>
        <w:t xml:space="preserve"> </w:t>
      </w:r>
      <w:r w:rsidRPr="00D92678">
        <w:rPr>
          <w:lang w:val="en-US"/>
        </w:rPr>
        <w:t>analysis.</w:t>
      </w:r>
    </w:p>
    <w:p w:rsidR="009F0A1E" w:rsidRPr="00D92678" w:rsidRDefault="009F0A1E" w:rsidP="009F0A1E">
      <w:pPr>
        <w:pStyle w:val="Tekstpodstawowy"/>
        <w:spacing w:line="480" w:lineRule="auto"/>
        <w:ind w:left="871" w:right="492" w:firstLine="566"/>
        <w:jc w:val="both"/>
        <w:rPr>
          <w:lang w:val="en-US"/>
        </w:rPr>
        <w:sectPr w:rsidR="009F0A1E" w:rsidRPr="00D92678">
          <w:pgSz w:w="11910" w:h="16840"/>
          <w:pgMar w:top="1320" w:right="640" w:bottom="1040" w:left="1680" w:header="857" w:footer="771" w:gutter="0"/>
          <w:cols w:space="708"/>
        </w:sectPr>
      </w:pPr>
      <w:r w:rsidRPr="00D92678">
        <w:rPr>
          <w:lang w:val="en-US"/>
        </w:rPr>
        <w:t xml:space="preserve">In all patients, serum </w:t>
      </w:r>
      <w:proofErr w:type="spellStart"/>
      <w:r w:rsidRPr="00D92678">
        <w:rPr>
          <w:lang w:val="en-US"/>
        </w:rPr>
        <w:t>tryptase</w:t>
      </w:r>
      <w:proofErr w:type="spellEnd"/>
      <w:r w:rsidRPr="00D92678">
        <w:rPr>
          <w:lang w:val="en-US"/>
        </w:rPr>
        <w:t xml:space="preserve"> levels were the highest before anesthesia and were significant reduced after completion of anesthesia. In group I, the median pre-operative serum </w:t>
      </w:r>
      <w:proofErr w:type="spellStart"/>
      <w:r w:rsidRPr="00D92678">
        <w:rPr>
          <w:lang w:val="en-US"/>
        </w:rPr>
        <w:t>tryptase</w:t>
      </w:r>
      <w:proofErr w:type="spellEnd"/>
      <w:r w:rsidRPr="00D92678">
        <w:rPr>
          <w:lang w:val="en-US"/>
        </w:rPr>
        <w:t xml:space="preserve"> concentration was 2.92 </w:t>
      </w:r>
      <w:r>
        <w:t>μ</w:t>
      </w:r>
      <w:r w:rsidRPr="00D92678">
        <w:rPr>
          <w:lang w:val="en-US"/>
        </w:rPr>
        <w:t xml:space="preserve">g/L, and after anesthesia was significantly reduced to 2.61 </w:t>
      </w:r>
      <w:r>
        <w:t>μ</w:t>
      </w:r>
      <w:r w:rsidRPr="00D92678">
        <w:rPr>
          <w:lang w:val="en-US"/>
        </w:rPr>
        <w:t xml:space="preserve">g/L, (p=0.03). In group II, the serum </w:t>
      </w:r>
      <w:proofErr w:type="spellStart"/>
      <w:r w:rsidRPr="00D92678">
        <w:rPr>
          <w:lang w:val="en-US"/>
        </w:rPr>
        <w:t>tryptase</w:t>
      </w:r>
      <w:proofErr w:type="spellEnd"/>
      <w:r w:rsidRPr="00D92678">
        <w:rPr>
          <w:lang w:val="en-US"/>
        </w:rPr>
        <w:t xml:space="preserve"> concentration before anesthesia was the highest among all</w:t>
      </w:r>
    </w:p>
    <w:p w:rsidR="009F0A1E" w:rsidRPr="00D92678" w:rsidRDefault="009F0A1E" w:rsidP="009F0A1E">
      <w:pPr>
        <w:pStyle w:val="Tekstpodstawowy"/>
        <w:spacing w:before="83" w:line="480" w:lineRule="auto"/>
        <w:ind w:left="871" w:right="487"/>
        <w:jc w:val="both"/>
        <w:rPr>
          <w:lang w:val="en-US"/>
        </w:rPr>
      </w:pPr>
      <w:r w:rsidRPr="00D92678">
        <w:rPr>
          <w:lang w:val="en-US"/>
        </w:rPr>
        <w:lastRenderedPageBreak/>
        <w:t xml:space="preserve">studied patients - the median was 3.27 </w:t>
      </w:r>
      <w:r>
        <w:t>μ</w:t>
      </w:r>
      <w:r w:rsidRPr="00D92678">
        <w:rPr>
          <w:lang w:val="en-US"/>
        </w:rPr>
        <w:t xml:space="preserve">g/L, and there was also a significant decrease after its completion to 2.79 </w:t>
      </w:r>
      <w:r>
        <w:t>μ</w:t>
      </w:r>
      <w:r w:rsidRPr="00D92678">
        <w:rPr>
          <w:lang w:val="en-US"/>
        </w:rPr>
        <w:t xml:space="preserve">g/L, (p=0,02). Analysis of the changes of serum </w:t>
      </w:r>
      <w:proofErr w:type="spellStart"/>
      <w:r w:rsidRPr="00D92678">
        <w:rPr>
          <w:lang w:val="en-US"/>
        </w:rPr>
        <w:t>tryptase</w:t>
      </w:r>
      <w:proofErr w:type="spellEnd"/>
      <w:r w:rsidRPr="00D92678">
        <w:rPr>
          <w:lang w:val="en-US"/>
        </w:rPr>
        <w:t xml:space="preserve"> concentration during anesthesia in group I showed decrease the level of this enzyme, which reached the lowest value after completion of anesthesia. In the group of patients undergoing volatile induction and maintenance of anesthesia with the using of </w:t>
      </w:r>
      <w:proofErr w:type="spellStart"/>
      <w:r w:rsidRPr="00D92678">
        <w:rPr>
          <w:lang w:val="en-US"/>
        </w:rPr>
        <w:t>rocuronium</w:t>
      </w:r>
      <w:proofErr w:type="spellEnd"/>
      <w:r w:rsidRPr="00D92678">
        <w:rPr>
          <w:lang w:val="en-US"/>
        </w:rPr>
        <w:t xml:space="preserve">, the serum </w:t>
      </w:r>
      <w:proofErr w:type="spellStart"/>
      <w:r w:rsidRPr="00D92678">
        <w:rPr>
          <w:lang w:val="en-US"/>
        </w:rPr>
        <w:t>tryptase</w:t>
      </w:r>
      <w:proofErr w:type="spellEnd"/>
      <w:r w:rsidRPr="00D92678">
        <w:rPr>
          <w:lang w:val="en-US"/>
        </w:rPr>
        <w:t xml:space="preserve"> concentration was lower after completion of </w:t>
      </w:r>
      <w:proofErr w:type="spellStart"/>
      <w:r w:rsidRPr="00D92678">
        <w:rPr>
          <w:lang w:val="en-US"/>
        </w:rPr>
        <w:t>rocuronium</w:t>
      </w:r>
      <w:proofErr w:type="spellEnd"/>
      <w:r w:rsidRPr="00D92678">
        <w:rPr>
          <w:lang w:val="en-US"/>
        </w:rPr>
        <w:t xml:space="preserve"> infusion with reference to the valu</w:t>
      </w:r>
      <w:r>
        <w:rPr>
          <w:lang w:val="en-US"/>
        </w:rPr>
        <w:t>e before anesthesia by 10.0% (p=</w:t>
      </w:r>
      <w:r w:rsidRPr="00D92678">
        <w:rPr>
          <w:lang w:val="en-US"/>
        </w:rPr>
        <w:t xml:space="preserve">0.01). The highest difference in serum </w:t>
      </w:r>
      <w:proofErr w:type="spellStart"/>
      <w:r w:rsidRPr="00D92678">
        <w:rPr>
          <w:lang w:val="en-US"/>
        </w:rPr>
        <w:t>tryptase</w:t>
      </w:r>
      <w:proofErr w:type="spellEnd"/>
      <w:r w:rsidRPr="00D92678">
        <w:rPr>
          <w:lang w:val="en-US"/>
        </w:rPr>
        <w:t xml:space="preserve"> concentration was found in patients undergoing volatile induction and maintenance of anesthesia without the using of neuromuscular blocking agents recorded between measurements before and after completion of anesthesia - a 14.7% reduction. The serum </w:t>
      </w:r>
      <w:proofErr w:type="spellStart"/>
      <w:r w:rsidRPr="00D92678">
        <w:rPr>
          <w:lang w:val="en-US"/>
        </w:rPr>
        <w:t>tryptase</w:t>
      </w:r>
      <w:proofErr w:type="spellEnd"/>
      <w:r w:rsidRPr="00D92678">
        <w:rPr>
          <w:lang w:val="en-US"/>
        </w:rPr>
        <w:t xml:space="preserve"> concentrations in the analyzed stages of anesthesia did not show significant differences between the groups. It was found that among all patients, the serum </w:t>
      </w:r>
      <w:proofErr w:type="spellStart"/>
      <w:r w:rsidRPr="00D92678">
        <w:rPr>
          <w:lang w:val="en-US"/>
        </w:rPr>
        <w:t>tryptase</w:t>
      </w:r>
      <w:proofErr w:type="spellEnd"/>
      <w:r w:rsidRPr="00D92678">
        <w:rPr>
          <w:lang w:val="en-US"/>
        </w:rPr>
        <w:t xml:space="preserve"> concentration did not present any correlation to anthropometric indicators as well as factors resulting from the course of surgery and anesthesia.</w:t>
      </w:r>
    </w:p>
    <w:p w:rsidR="009F0A1E" w:rsidRPr="00D92678" w:rsidRDefault="009F0A1E" w:rsidP="009F0A1E">
      <w:pPr>
        <w:pStyle w:val="Tekstpodstawowy"/>
        <w:spacing w:before="3" w:line="477" w:lineRule="auto"/>
        <w:ind w:left="993" w:firstLine="444"/>
        <w:rPr>
          <w:lang w:val="en-US"/>
        </w:rPr>
      </w:pPr>
      <w:r w:rsidRPr="00D92678">
        <w:rPr>
          <w:lang w:val="en-US"/>
        </w:rPr>
        <w:t xml:space="preserve">The results of the conducted research allowed to present </w:t>
      </w:r>
      <w:r>
        <w:rPr>
          <w:lang w:val="en-US"/>
        </w:rPr>
        <w:t xml:space="preserve">the following </w:t>
      </w:r>
      <w:r w:rsidRPr="00D92678">
        <w:rPr>
          <w:lang w:val="en-US"/>
        </w:rPr>
        <w:t>conclusions:</w:t>
      </w:r>
    </w:p>
    <w:p w:rsidR="009F0A1E" w:rsidRPr="00D92678" w:rsidRDefault="009F0A1E" w:rsidP="009F0A1E">
      <w:pPr>
        <w:pStyle w:val="Akapitzlist"/>
        <w:numPr>
          <w:ilvl w:val="0"/>
          <w:numId w:val="1"/>
        </w:numPr>
        <w:tabs>
          <w:tab w:val="left" w:pos="1438"/>
        </w:tabs>
        <w:spacing w:before="3" w:line="480" w:lineRule="auto"/>
        <w:ind w:right="490"/>
        <w:rPr>
          <w:sz w:val="24"/>
          <w:lang w:val="en-US"/>
        </w:rPr>
      </w:pPr>
      <w:r w:rsidRPr="00D92678">
        <w:rPr>
          <w:sz w:val="24"/>
          <w:lang w:val="en-US"/>
        </w:rPr>
        <w:t xml:space="preserve">The using of </w:t>
      </w:r>
      <w:proofErr w:type="spellStart"/>
      <w:r w:rsidRPr="00D92678">
        <w:rPr>
          <w:sz w:val="24"/>
          <w:lang w:val="en-US"/>
        </w:rPr>
        <w:t>rocuronium</w:t>
      </w:r>
      <w:proofErr w:type="spellEnd"/>
      <w:r w:rsidRPr="00D92678">
        <w:rPr>
          <w:sz w:val="24"/>
          <w:lang w:val="en-US"/>
        </w:rPr>
        <w:t xml:space="preserve"> during </w:t>
      </w:r>
      <w:r w:rsidRPr="00FF393D">
        <w:rPr>
          <w:sz w:val="24"/>
          <w:szCs w:val="24"/>
          <w:lang w:val="en-US"/>
        </w:rPr>
        <w:t xml:space="preserve">volatile induction and maintenance of </w:t>
      </w:r>
      <w:proofErr w:type="spellStart"/>
      <w:r w:rsidRPr="00FF393D">
        <w:rPr>
          <w:sz w:val="24"/>
          <w:szCs w:val="24"/>
          <w:lang w:val="en-US"/>
        </w:rPr>
        <w:t>anaesthesia</w:t>
      </w:r>
      <w:proofErr w:type="spellEnd"/>
      <w:r w:rsidRPr="00FF393D">
        <w:rPr>
          <w:sz w:val="24"/>
          <w:szCs w:val="24"/>
          <w:lang w:val="en-US"/>
        </w:rPr>
        <w:t xml:space="preserve"> did not result in changes in serum </w:t>
      </w:r>
      <w:proofErr w:type="spellStart"/>
      <w:r w:rsidRPr="00FF393D">
        <w:rPr>
          <w:sz w:val="24"/>
          <w:szCs w:val="24"/>
          <w:lang w:val="en-US"/>
        </w:rPr>
        <w:t>tryptase</w:t>
      </w:r>
      <w:proofErr w:type="spellEnd"/>
      <w:r w:rsidRPr="00FF393D">
        <w:rPr>
          <w:sz w:val="24"/>
          <w:szCs w:val="24"/>
          <w:lang w:val="en-US"/>
        </w:rPr>
        <w:t xml:space="preserve"> concentrations compared to method without the using neuromuscular</w:t>
      </w:r>
      <w:r w:rsidRPr="00D92678">
        <w:rPr>
          <w:sz w:val="24"/>
          <w:lang w:val="en-US"/>
        </w:rPr>
        <w:t xml:space="preserve"> blocking</w:t>
      </w:r>
      <w:r>
        <w:rPr>
          <w:sz w:val="24"/>
          <w:lang w:val="en-US"/>
        </w:rPr>
        <w:t xml:space="preserve"> </w:t>
      </w:r>
      <w:r w:rsidRPr="00D92678">
        <w:rPr>
          <w:sz w:val="24"/>
          <w:lang w:val="en-US"/>
        </w:rPr>
        <w:t>agents.</w:t>
      </w:r>
    </w:p>
    <w:p w:rsidR="009F0A1E" w:rsidRDefault="009F0A1E" w:rsidP="009F0A1E">
      <w:pPr>
        <w:pStyle w:val="Akapitzlist"/>
        <w:numPr>
          <w:ilvl w:val="0"/>
          <w:numId w:val="1"/>
        </w:numPr>
        <w:tabs>
          <w:tab w:val="left" w:pos="1438"/>
        </w:tabs>
        <w:spacing w:before="1" w:line="480" w:lineRule="auto"/>
        <w:ind w:right="491"/>
        <w:rPr>
          <w:sz w:val="24"/>
          <w:lang w:val="en-US"/>
        </w:rPr>
      </w:pPr>
      <w:r w:rsidRPr="00D92678">
        <w:rPr>
          <w:sz w:val="24"/>
          <w:lang w:val="en-US"/>
        </w:rPr>
        <w:t xml:space="preserve">The </w:t>
      </w:r>
      <w:proofErr w:type="spellStart"/>
      <w:r w:rsidRPr="00D92678">
        <w:rPr>
          <w:sz w:val="24"/>
          <w:lang w:val="en-US"/>
        </w:rPr>
        <w:t>rocuronium</w:t>
      </w:r>
      <w:proofErr w:type="spellEnd"/>
      <w:r w:rsidRPr="00D92678">
        <w:rPr>
          <w:sz w:val="24"/>
          <w:lang w:val="en-US"/>
        </w:rPr>
        <w:t xml:space="preserve"> doses did not affect the serum </w:t>
      </w:r>
      <w:proofErr w:type="spellStart"/>
      <w:r w:rsidRPr="00D92678">
        <w:rPr>
          <w:sz w:val="24"/>
          <w:lang w:val="en-US"/>
        </w:rPr>
        <w:t>tryptase</w:t>
      </w:r>
      <w:proofErr w:type="spellEnd"/>
      <w:r w:rsidRPr="00D92678">
        <w:rPr>
          <w:sz w:val="24"/>
          <w:lang w:val="en-US"/>
        </w:rPr>
        <w:t xml:space="preserve"> </w:t>
      </w:r>
      <w:r w:rsidRPr="00D92678">
        <w:rPr>
          <w:sz w:val="24"/>
          <w:lang w:val="en-US"/>
        </w:rPr>
        <w:lastRenderedPageBreak/>
        <w:t xml:space="preserve">concentration during </w:t>
      </w:r>
      <w:r>
        <w:rPr>
          <w:sz w:val="24"/>
          <w:lang w:val="en-US"/>
        </w:rPr>
        <w:t xml:space="preserve"> </w:t>
      </w:r>
      <w:r w:rsidRPr="00613D87">
        <w:rPr>
          <w:sz w:val="24"/>
          <w:szCs w:val="24"/>
          <w:lang w:val="en-US"/>
        </w:rPr>
        <w:t>volatile induction and maintenance of anesthesia</w:t>
      </w:r>
      <w:r w:rsidRPr="00D92678">
        <w:rPr>
          <w:sz w:val="24"/>
          <w:lang w:val="en-US"/>
        </w:rPr>
        <w:t>.</w:t>
      </w:r>
    </w:p>
    <w:p w:rsidR="009F0A1E" w:rsidRPr="00D92678" w:rsidRDefault="009F0A1E" w:rsidP="009F0A1E">
      <w:pPr>
        <w:pStyle w:val="Akapitzlist"/>
        <w:tabs>
          <w:tab w:val="left" w:pos="1438"/>
        </w:tabs>
        <w:spacing w:before="1" w:line="480" w:lineRule="auto"/>
        <w:ind w:right="491"/>
        <w:rPr>
          <w:sz w:val="24"/>
          <w:lang w:val="en-US"/>
        </w:rPr>
      </w:pPr>
    </w:p>
    <w:p w:rsidR="009F0A1E" w:rsidRPr="00D92678" w:rsidRDefault="009F0A1E" w:rsidP="009F0A1E">
      <w:pPr>
        <w:pStyle w:val="Akapitzlist"/>
        <w:numPr>
          <w:ilvl w:val="0"/>
          <w:numId w:val="1"/>
        </w:numPr>
        <w:tabs>
          <w:tab w:val="left" w:pos="1438"/>
        </w:tabs>
        <w:spacing w:before="83" w:line="480" w:lineRule="auto"/>
        <w:ind w:right="491"/>
        <w:rPr>
          <w:sz w:val="24"/>
          <w:lang w:val="en-US"/>
        </w:rPr>
      </w:pPr>
      <w:r w:rsidRPr="00D92678">
        <w:rPr>
          <w:sz w:val="24"/>
          <w:lang w:val="en-US"/>
        </w:rPr>
        <w:t xml:space="preserve">Anthropometric indicators of the patients as well as factors resulting from the course of surgery and anesthesia did not affect the values of serum </w:t>
      </w:r>
      <w:proofErr w:type="spellStart"/>
      <w:r w:rsidRPr="00D92678">
        <w:rPr>
          <w:sz w:val="24"/>
          <w:lang w:val="en-US"/>
        </w:rPr>
        <w:t>tryptase</w:t>
      </w:r>
      <w:proofErr w:type="spellEnd"/>
      <w:r>
        <w:rPr>
          <w:sz w:val="24"/>
          <w:lang w:val="en-US"/>
        </w:rPr>
        <w:t xml:space="preserve"> </w:t>
      </w:r>
      <w:r w:rsidRPr="00D92678">
        <w:rPr>
          <w:sz w:val="24"/>
          <w:lang w:val="en-US"/>
        </w:rPr>
        <w:t>concentrations.</w:t>
      </w:r>
    </w:p>
    <w:p w:rsidR="009F0A1E" w:rsidRPr="00D92678" w:rsidRDefault="009F0A1E" w:rsidP="009F0A1E">
      <w:pPr>
        <w:pStyle w:val="Akapitzlist"/>
        <w:numPr>
          <w:ilvl w:val="0"/>
          <w:numId w:val="1"/>
        </w:numPr>
        <w:tabs>
          <w:tab w:val="left" w:pos="1438"/>
        </w:tabs>
        <w:spacing w:line="480" w:lineRule="auto"/>
        <w:ind w:right="491"/>
        <w:rPr>
          <w:sz w:val="24"/>
          <w:lang w:val="en-US"/>
        </w:rPr>
      </w:pPr>
      <w:r w:rsidRPr="00D92678">
        <w:rPr>
          <w:sz w:val="24"/>
          <w:lang w:val="en-US"/>
        </w:rPr>
        <w:t xml:space="preserve">The </w:t>
      </w:r>
      <w:r w:rsidRPr="00FF393D">
        <w:rPr>
          <w:sz w:val="24"/>
          <w:szCs w:val="24"/>
          <w:lang w:val="en-US"/>
        </w:rPr>
        <w:t xml:space="preserve">presented method of volatile induction and maintenance </w:t>
      </w:r>
      <w:proofErr w:type="spellStart"/>
      <w:r w:rsidRPr="00FF393D">
        <w:rPr>
          <w:sz w:val="24"/>
          <w:szCs w:val="24"/>
          <w:lang w:val="en-US"/>
        </w:rPr>
        <w:t>anaesthesia</w:t>
      </w:r>
      <w:proofErr w:type="spellEnd"/>
      <w:r w:rsidRPr="00FF393D">
        <w:rPr>
          <w:sz w:val="24"/>
          <w:szCs w:val="24"/>
          <w:lang w:val="en-US"/>
        </w:rPr>
        <w:t xml:space="preserve"> and the using</w:t>
      </w:r>
      <w:r w:rsidRPr="00D92678">
        <w:rPr>
          <w:sz w:val="24"/>
          <w:lang w:val="en-US"/>
        </w:rPr>
        <w:t xml:space="preserve"> of </w:t>
      </w:r>
      <w:proofErr w:type="spellStart"/>
      <w:r w:rsidRPr="00D92678">
        <w:rPr>
          <w:sz w:val="24"/>
          <w:lang w:val="en-US"/>
        </w:rPr>
        <w:t>rocuronium</w:t>
      </w:r>
      <w:proofErr w:type="spellEnd"/>
      <w:r w:rsidRPr="00D92678">
        <w:rPr>
          <w:sz w:val="24"/>
          <w:lang w:val="en-US"/>
        </w:rPr>
        <w:t xml:space="preserve"> ensured stable circulatory and respiratory</w:t>
      </w:r>
      <w:r>
        <w:rPr>
          <w:sz w:val="24"/>
          <w:lang w:val="en-US"/>
        </w:rPr>
        <w:t xml:space="preserve"> </w:t>
      </w:r>
      <w:r w:rsidRPr="00D92678">
        <w:rPr>
          <w:sz w:val="24"/>
          <w:lang w:val="en-US"/>
        </w:rPr>
        <w:t>parameters.</w:t>
      </w:r>
    </w:p>
    <w:p w:rsidR="009F0A1E" w:rsidRPr="00D92678" w:rsidRDefault="009F0A1E" w:rsidP="009F0A1E">
      <w:pPr>
        <w:pStyle w:val="Akapitzlist"/>
        <w:numPr>
          <w:ilvl w:val="0"/>
          <w:numId w:val="1"/>
        </w:numPr>
        <w:tabs>
          <w:tab w:val="left" w:pos="1438"/>
        </w:tabs>
        <w:spacing w:before="1" w:line="480" w:lineRule="auto"/>
        <w:ind w:right="489"/>
        <w:rPr>
          <w:sz w:val="24"/>
          <w:lang w:val="en-US"/>
        </w:rPr>
      </w:pPr>
      <w:r w:rsidRPr="00D92678">
        <w:rPr>
          <w:sz w:val="24"/>
          <w:lang w:val="en-US"/>
        </w:rPr>
        <w:t xml:space="preserve">The using </w:t>
      </w:r>
      <w:r w:rsidRPr="00FF393D">
        <w:rPr>
          <w:sz w:val="24"/>
          <w:szCs w:val="24"/>
          <w:lang w:val="en-US"/>
        </w:rPr>
        <w:t xml:space="preserve">of </w:t>
      </w:r>
      <w:proofErr w:type="spellStart"/>
      <w:r w:rsidRPr="00FF393D">
        <w:rPr>
          <w:sz w:val="24"/>
          <w:szCs w:val="24"/>
          <w:lang w:val="en-US"/>
        </w:rPr>
        <w:t>rocuronium</w:t>
      </w:r>
      <w:proofErr w:type="spellEnd"/>
      <w:r w:rsidRPr="00FF393D">
        <w:rPr>
          <w:sz w:val="24"/>
          <w:szCs w:val="24"/>
          <w:lang w:val="en-US"/>
        </w:rPr>
        <w:t xml:space="preserve"> as a component of volatile induction and maintenance </w:t>
      </w:r>
      <w:r>
        <w:rPr>
          <w:sz w:val="24"/>
          <w:szCs w:val="24"/>
          <w:lang w:val="en-US"/>
        </w:rPr>
        <w:t xml:space="preserve"> of </w:t>
      </w:r>
      <w:proofErr w:type="spellStart"/>
      <w:r w:rsidRPr="00FF393D">
        <w:rPr>
          <w:sz w:val="24"/>
          <w:szCs w:val="24"/>
          <w:lang w:val="en-US"/>
        </w:rPr>
        <w:t>anaesthesia</w:t>
      </w:r>
      <w:proofErr w:type="spellEnd"/>
      <w:r w:rsidRPr="00D92678">
        <w:rPr>
          <w:sz w:val="24"/>
          <w:lang w:val="en-US"/>
        </w:rPr>
        <w:t xml:space="preserve"> was safe and did not cause </w:t>
      </w:r>
      <w:proofErr w:type="spellStart"/>
      <w:r w:rsidRPr="00D92678">
        <w:rPr>
          <w:sz w:val="24"/>
          <w:lang w:val="en-US"/>
        </w:rPr>
        <w:t>peri</w:t>
      </w:r>
      <w:proofErr w:type="spellEnd"/>
      <w:r w:rsidRPr="00D92678">
        <w:rPr>
          <w:sz w:val="24"/>
          <w:lang w:val="en-US"/>
        </w:rPr>
        <w:t xml:space="preserve">-operative hypersensitivity reactions assessed by changes in serum </w:t>
      </w:r>
      <w:proofErr w:type="spellStart"/>
      <w:r w:rsidRPr="00D92678">
        <w:rPr>
          <w:sz w:val="24"/>
          <w:lang w:val="en-US"/>
        </w:rPr>
        <w:t>tryptase</w:t>
      </w:r>
      <w:proofErr w:type="spellEnd"/>
      <w:r w:rsidRPr="00D92678">
        <w:rPr>
          <w:sz w:val="24"/>
          <w:lang w:val="en-US"/>
        </w:rPr>
        <w:t xml:space="preserve"> concentrations.</w:t>
      </w:r>
    </w:p>
    <w:p w:rsidR="009F0A1E" w:rsidRPr="00D92678" w:rsidRDefault="009F0A1E" w:rsidP="009F0A1E">
      <w:pPr>
        <w:pStyle w:val="Akapitzlist"/>
        <w:numPr>
          <w:ilvl w:val="0"/>
          <w:numId w:val="1"/>
        </w:numPr>
        <w:tabs>
          <w:tab w:val="left" w:pos="1438"/>
        </w:tabs>
        <w:spacing w:line="480" w:lineRule="auto"/>
        <w:ind w:right="490"/>
        <w:rPr>
          <w:sz w:val="24"/>
          <w:lang w:val="en-US"/>
        </w:rPr>
      </w:pPr>
      <w:r w:rsidRPr="00D92678">
        <w:rPr>
          <w:sz w:val="24"/>
          <w:lang w:val="en-US"/>
        </w:rPr>
        <w:t xml:space="preserve">Due to the selection of the study group, the explanation of the </w:t>
      </w:r>
      <w:proofErr w:type="spellStart"/>
      <w:r w:rsidRPr="00D92678">
        <w:rPr>
          <w:sz w:val="24"/>
          <w:lang w:val="en-US"/>
        </w:rPr>
        <w:t>rocuronium</w:t>
      </w:r>
      <w:proofErr w:type="spellEnd"/>
      <w:r w:rsidRPr="00D92678">
        <w:rPr>
          <w:sz w:val="24"/>
          <w:lang w:val="en-US"/>
        </w:rPr>
        <w:t xml:space="preserve"> effect on the serum </w:t>
      </w:r>
      <w:proofErr w:type="spellStart"/>
      <w:r w:rsidRPr="00D92678">
        <w:rPr>
          <w:sz w:val="24"/>
          <w:lang w:val="en-US"/>
        </w:rPr>
        <w:t>tryptrase</w:t>
      </w:r>
      <w:proofErr w:type="spellEnd"/>
      <w:r w:rsidRPr="00D92678">
        <w:rPr>
          <w:sz w:val="24"/>
          <w:lang w:val="en-US"/>
        </w:rPr>
        <w:t xml:space="preserve"> concentration requires testing on a larger and more diverse group of</w:t>
      </w:r>
      <w:r>
        <w:rPr>
          <w:sz w:val="24"/>
          <w:lang w:val="en-US"/>
        </w:rPr>
        <w:t xml:space="preserve"> </w:t>
      </w:r>
      <w:r w:rsidRPr="00D92678">
        <w:rPr>
          <w:sz w:val="24"/>
          <w:lang w:val="en-US"/>
        </w:rPr>
        <w:t>patients.</w:t>
      </w:r>
    </w:p>
    <w:p w:rsidR="007062FB" w:rsidRPr="009F0A1E" w:rsidRDefault="007062FB">
      <w:pPr>
        <w:rPr>
          <w:lang w:val="en-US"/>
        </w:rPr>
      </w:pPr>
      <w:bookmarkStart w:id="0" w:name="_GoBack"/>
      <w:bookmarkEnd w:id="0"/>
    </w:p>
    <w:sectPr w:rsidR="007062FB" w:rsidRPr="009F0A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DDC" w:rsidRDefault="009F0A1E">
    <w:pPr>
      <w:pStyle w:val="Tekstpodstawowy"/>
      <w:spacing w:line="14" w:lineRule="auto"/>
      <w:rPr>
        <w:sz w:val="20"/>
      </w:rPr>
    </w:pPr>
    <w:r w:rsidRPr="006F693D">
      <w:rPr>
        <w:noProof/>
        <w:lang w:bidi="ar-SA"/>
      </w:rPr>
      <mc:AlternateContent>
        <mc:Choice Requires="wps">
          <w:drawing>
            <wp:anchor distT="0" distB="0" distL="114300" distR="114300" simplePos="0" relativeHeight="251659264" behindDoc="1" locked="0" layoutInCell="1" allowOverlap="1">
              <wp:simplePos x="0" y="0"/>
              <wp:positionH relativeFrom="page">
                <wp:posOffset>1440180</wp:posOffset>
              </wp:positionH>
              <wp:positionV relativeFrom="page">
                <wp:posOffset>725170</wp:posOffset>
              </wp:positionV>
              <wp:extent cx="5579745" cy="0"/>
              <wp:effectExtent l="11430" t="10795" r="9525" b="8255"/>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47BB3" id="Łącznik prosty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4pt,57.1pt" to="552.75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">
              <w10:wrap anchorx="page" anchory="page"/>
            </v:line>
          </w:pict>
        </mc:Fallback>
      </mc:AlternateContent>
    </w:r>
    <w:r w:rsidRPr="006F693D">
      <w:rPr>
        <w:noProof/>
        <w:lang w:bidi="ar-SA"/>
      </w:rPr>
      <mc:AlternateContent>
        <mc:Choice Requires="wps">
          <w:drawing>
            <wp:anchor distT="0" distB="0" distL="114300" distR="114300" simplePos="0" relativeHeight="251660288" behindDoc="1" locked="0" layoutInCell="1" allowOverlap="1">
              <wp:simplePos x="0" y="0"/>
              <wp:positionH relativeFrom="page">
                <wp:posOffset>6409055</wp:posOffset>
              </wp:positionH>
              <wp:positionV relativeFrom="page">
                <wp:posOffset>531495</wp:posOffset>
              </wp:positionV>
              <wp:extent cx="445770" cy="153670"/>
              <wp:effectExtent l="0" t="0" r="3175" b="63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3DDC" w:rsidRDefault="009F0A1E">
                          <w:pPr>
                            <w:spacing w:before="14"/>
                            <w:ind w:left="20"/>
                            <w:rPr>
                              <w:sz w:val="18"/>
                            </w:rPr>
                          </w:pPr>
                          <w:proofErr w:type="spellStart"/>
                          <w:r>
                            <w:rPr>
                              <w:sz w:val="18"/>
                            </w:rPr>
                            <w:t>Abstract</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504.65pt;margin-top:41.85pt;width:35.1pt;height:1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" filled="f" stroked="f">
              <v:textbox inset="0,0,0,0">
                <w:txbxContent>
                  <w:p w:rsidR="00E43DDC" w:rsidRDefault="009F0A1E">
                    <w:pPr>
                      <w:spacing w:before="14"/>
                      <w:ind w:left="20"/>
                      <w:rPr>
                        <w:sz w:val="18"/>
                      </w:rPr>
                    </w:pPr>
                    <w:proofErr w:type="spellStart"/>
                    <w:r>
                      <w:rPr>
                        <w:sz w:val="18"/>
                      </w:rPr>
                      <w:t>Abstract</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F7F23"/>
    <w:multiLevelType w:val="hybridMultilevel"/>
    <w:tmpl w:val="ECB6912E"/>
    <w:lvl w:ilvl="0" w:tplc="3BA6D9B0">
      <w:start w:val="1"/>
      <w:numFmt w:val="decimal"/>
      <w:lvlText w:val="%1."/>
      <w:lvlJc w:val="left"/>
      <w:pPr>
        <w:ind w:left="1438" w:hanging="567"/>
      </w:pPr>
      <w:rPr>
        <w:rFonts w:ascii="Arial" w:eastAsia="Arial" w:hAnsi="Arial" w:cs="Arial" w:hint="default"/>
        <w:spacing w:val="0"/>
        <w:w w:val="100"/>
        <w:sz w:val="24"/>
        <w:szCs w:val="24"/>
        <w:lang w:val="pl-PL" w:eastAsia="pl-PL" w:bidi="pl-PL"/>
      </w:rPr>
    </w:lvl>
    <w:lvl w:ilvl="1" w:tplc="EBD4C526">
      <w:numFmt w:val="bullet"/>
      <w:lvlText w:val="•"/>
      <w:lvlJc w:val="left"/>
      <w:pPr>
        <w:ind w:left="2254" w:hanging="567"/>
      </w:pPr>
      <w:rPr>
        <w:rFonts w:hint="default"/>
        <w:lang w:val="pl-PL" w:eastAsia="pl-PL" w:bidi="pl-PL"/>
      </w:rPr>
    </w:lvl>
    <w:lvl w:ilvl="2" w:tplc="BB3691F2">
      <w:numFmt w:val="bullet"/>
      <w:lvlText w:val="•"/>
      <w:lvlJc w:val="left"/>
      <w:pPr>
        <w:ind w:left="3069" w:hanging="567"/>
      </w:pPr>
      <w:rPr>
        <w:rFonts w:hint="default"/>
        <w:lang w:val="pl-PL" w:eastAsia="pl-PL" w:bidi="pl-PL"/>
      </w:rPr>
    </w:lvl>
    <w:lvl w:ilvl="3" w:tplc="81065F52">
      <w:numFmt w:val="bullet"/>
      <w:lvlText w:val="•"/>
      <w:lvlJc w:val="left"/>
      <w:pPr>
        <w:ind w:left="3883" w:hanging="567"/>
      </w:pPr>
      <w:rPr>
        <w:rFonts w:hint="default"/>
        <w:lang w:val="pl-PL" w:eastAsia="pl-PL" w:bidi="pl-PL"/>
      </w:rPr>
    </w:lvl>
    <w:lvl w:ilvl="4" w:tplc="460A83D0">
      <w:numFmt w:val="bullet"/>
      <w:lvlText w:val="•"/>
      <w:lvlJc w:val="left"/>
      <w:pPr>
        <w:ind w:left="4698" w:hanging="567"/>
      </w:pPr>
      <w:rPr>
        <w:rFonts w:hint="default"/>
        <w:lang w:val="pl-PL" w:eastAsia="pl-PL" w:bidi="pl-PL"/>
      </w:rPr>
    </w:lvl>
    <w:lvl w:ilvl="5" w:tplc="470C01F2">
      <w:numFmt w:val="bullet"/>
      <w:lvlText w:val="•"/>
      <w:lvlJc w:val="left"/>
      <w:pPr>
        <w:ind w:left="5513" w:hanging="567"/>
      </w:pPr>
      <w:rPr>
        <w:rFonts w:hint="default"/>
        <w:lang w:val="pl-PL" w:eastAsia="pl-PL" w:bidi="pl-PL"/>
      </w:rPr>
    </w:lvl>
    <w:lvl w:ilvl="6" w:tplc="122C9EB4">
      <w:numFmt w:val="bullet"/>
      <w:lvlText w:val="•"/>
      <w:lvlJc w:val="left"/>
      <w:pPr>
        <w:ind w:left="6327" w:hanging="567"/>
      </w:pPr>
      <w:rPr>
        <w:rFonts w:hint="default"/>
        <w:lang w:val="pl-PL" w:eastAsia="pl-PL" w:bidi="pl-PL"/>
      </w:rPr>
    </w:lvl>
    <w:lvl w:ilvl="7" w:tplc="D1EAB2D4">
      <w:numFmt w:val="bullet"/>
      <w:lvlText w:val="•"/>
      <w:lvlJc w:val="left"/>
      <w:pPr>
        <w:ind w:left="7142" w:hanging="567"/>
      </w:pPr>
      <w:rPr>
        <w:rFonts w:hint="default"/>
        <w:lang w:val="pl-PL" w:eastAsia="pl-PL" w:bidi="pl-PL"/>
      </w:rPr>
    </w:lvl>
    <w:lvl w:ilvl="8" w:tplc="F0127172">
      <w:numFmt w:val="bullet"/>
      <w:lvlText w:val="•"/>
      <w:lvlJc w:val="left"/>
      <w:pPr>
        <w:ind w:left="7957" w:hanging="567"/>
      </w:pPr>
      <w:rPr>
        <w:rFonts w:hint="default"/>
        <w:lang w:val="pl-PL" w:eastAsia="pl-PL" w:bidi="pl-P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A1E"/>
    <w:rsid w:val="007062FB"/>
    <w:rsid w:val="009F0A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D4C4C2-8A39-4CD6-8611-F430FE13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9F0A1E"/>
    <w:pPr>
      <w:widowControl w:val="0"/>
      <w:autoSpaceDE w:val="0"/>
      <w:autoSpaceDN w:val="0"/>
      <w:spacing w:after="0" w:line="240" w:lineRule="auto"/>
    </w:pPr>
    <w:rPr>
      <w:rFonts w:ascii="Arial" w:eastAsia="Arial" w:hAnsi="Arial" w:cs="Arial"/>
      <w:lang w:eastAsia="pl-PL" w:bidi="pl-PL"/>
    </w:rPr>
  </w:style>
  <w:style w:type="paragraph" w:styleId="Nagwek1">
    <w:name w:val="heading 1"/>
    <w:basedOn w:val="Normalny"/>
    <w:link w:val="Nagwek1Znak"/>
    <w:uiPriority w:val="1"/>
    <w:qFormat/>
    <w:rsid w:val="009F0A1E"/>
    <w:pPr>
      <w:ind w:left="2005" w:hanging="1134"/>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9F0A1E"/>
    <w:rPr>
      <w:rFonts w:ascii="Arial" w:eastAsia="Arial" w:hAnsi="Arial" w:cs="Arial"/>
      <w:b/>
      <w:bCs/>
      <w:sz w:val="24"/>
      <w:szCs w:val="24"/>
      <w:lang w:eastAsia="pl-PL" w:bidi="pl-PL"/>
    </w:rPr>
  </w:style>
  <w:style w:type="paragraph" w:styleId="Tekstpodstawowy">
    <w:name w:val="Body Text"/>
    <w:basedOn w:val="Normalny"/>
    <w:link w:val="TekstpodstawowyZnak"/>
    <w:uiPriority w:val="1"/>
    <w:qFormat/>
    <w:rsid w:val="009F0A1E"/>
    <w:rPr>
      <w:sz w:val="24"/>
      <w:szCs w:val="24"/>
    </w:rPr>
  </w:style>
  <w:style w:type="character" w:customStyle="1" w:styleId="TekstpodstawowyZnak">
    <w:name w:val="Tekst podstawowy Znak"/>
    <w:basedOn w:val="Domylnaczcionkaakapitu"/>
    <w:link w:val="Tekstpodstawowy"/>
    <w:uiPriority w:val="1"/>
    <w:rsid w:val="009F0A1E"/>
    <w:rPr>
      <w:rFonts w:ascii="Arial" w:eastAsia="Arial" w:hAnsi="Arial" w:cs="Arial"/>
      <w:sz w:val="24"/>
      <w:szCs w:val="24"/>
      <w:lang w:eastAsia="pl-PL" w:bidi="pl-PL"/>
    </w:rPr>
  </w:style>
  <w:style w:type="paragraph" w:styleId="Akapitzlist">
    <w:name w:val="List Paragraph"/>
    <w:basedOn w:val="Normalny"/>
    <w:uiPriority w:val="1"/>
    <w:qFormat/>
    <w:rsid w:val="009F0A1E"/>
    <w:pPr>
      <w:ind w:left="1438" w:hanging="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830</Words>
  <Characters>4980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dc:description/>
  <cp:lastModifiedBy>Ewa</cp:lastModifiedBy>
  <cp:revision>1</cp:revision>
  <dcterms:created xsi:type="dcterms:W3CDTF">2018-06-08T07:49:00Z</dcterms:created>
  <dcterms:modified xsi:type="dcterms:W3CDTF">2018-06-08T07:49:00Z</dcterms:modified>
</cp:coreProperties>
</file>