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A9" w:rsidRPr="002B5F4E" w:rsidRDefault="00FF0BA9" w:rsidP="00FF0BA9">
      <w:pPr>
        <w:pStyle w:val="Nagwek1"/>
        <w:rPr>
          <w:color w:val="000000" w:themeColor="text1"/>
          <w:sz w:val="32"/>
          <w:szCs w:val="32"/>
        </w:rPr>
      </w:pPr>
      <w:bookmarkStart w:id="0" w:name="_Toc482223935"/>
      <w:r w:rsidRPr="002B5F4E">
        <w:rPr>
          <w:color w:val="000000" w:themeColor="text1"/>
          <w:sz w:val="32"/>
          <w:szCs w:val="32"/>
        </w:rPr>
        <w:t>STRESZCZENIE</w:t>
      </w:r>
      <w:bookmarkEnd w:id="0"/>
    </w:p>
    <w:p w:rsidR="00FF0BA9" w:rsidRDefault="00FF0BA9" w:rsidP="00FF0BA9">
      <w:pPr>
        <w:tabs>
          <w:tab w:val="left" w:pos="33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F0BA9" w:rsidRDefault="00FF0BA9" w:rsidP="00FF0BA9">
      <w:pPr>
        <w:tabs>
          <w:tab w:val="left" w:pos="3344"/>
        </w:tabs>
        <w:rPr>
          <w:rFonts w:ascii="Arial" w:hAnsi="Arial" w:cs="Arial"/>
        </w:rPr>
      </w:pPr>
    </w:p>
    <w:p w:rsidR="00FF0BA9" w:rsidRPr="00FF0BA9" w:rsidRDefault="00FF0BA9" w:rsidP="00FF0BA9">
      <w:pPr>
        <w:spacing w:line="480" w:lineRule="auto"/>
        <w:ind w:firstLine="708"/>
        <w:jc w:val="both"/>
        <w:rPr>
          <w:rFonts w:ascii="Arial" w:hAnsi="Arial" w:cs="Arial"/>
          <w:lang w:val="en-US"/>
        </w:rPr>
      </w:pPr>
      <w:r w:rsidRPr="00FF0BA9">
        <w:rPr>
          <w:rFonts w:ascii="Arial" w:hAnsi="Arial" w:cs="Arial"/>
          <w:lang w:val="en-US"/>
        </w:rPr>
        <w:t xml:space="preserve">Infections of the respiratory system constitute the most frequent clinical problem that paediatricians in primary healthcare centres have to deal with. Parents </w:t>
      </w:r>
      <w:r w:rsidRPr="00FF0BA9">
        <w:rPr>
          <w:rFonts w:ascii="Arial" w:hAnsi="Arial" w:cs="Arial"/>
          <w:lang w:val="en-US"/>
        </w:rPr>
        <w:br/>
        <w:t xml:space="preserve">and custiodians often enquire during their visits about drugs and substances that can reduce the incidence of infections in their children. </w:t>
      </w:r>
    </w:p>
    <w:p w:rsidR="00FF0BA9" w:rsidRPr="00FF0BA9" w:rsidRDefault="00FF0BA9" w:rsidP="00FF0BA9">
      <w:pPr>
        <w:spacing w:line="480" w:lineRule="auto"/>
        <w:ind w:firstLine="708"/>
        <w:jc w:val="both"/>
        <w:rPr>
          <w:rFonts w:ascii="Arial" w:hAnsi="Arial" w:cs="Arial"/>
          <w:lang w:val="en-US"/>
        </w:rPr>
      </w:pPr>
      <w:r w:rsidRPr="00FF0BA9">
        <w:rPr>
          <w:rFonts w:ascii="Arial" w:hAnsi="Arial" w:cs="Arial"/>
          <w:lang w:val="en-US"/>
        </w:rPr>
        <w:t>Vitamin D</w:t>
      </w:r>
      <w:r w:rsidRPr="00FF0BA9">
        <w:rPr>
          <w:rFonts w:ascii="Arial" w:hAnsi="Arial" w:cs="Arial"/>
          <w:vertAlign w:val="subscript"/>
          <w:lang w:val="en-US"/>
        </w:rPr>
        <w:t>3</w:t>
      </w:r>
      <w:r w:rsidRPr="00FF0BA9">
        <w:rPr>
          <w:rFonts w:ascii="Arial" w:hAnsi="Arial" w:cs="Arial"/>
          <w:lang w:val="en-US"/>
        </w:rPr>
        <w:t xml:space="preserve"> is a nutrient which affects the skeletal system and the calcium-phosphate metabolism in a well-known and widely recognised manner. However, </w:t>
      </w:r>
      <w:r w:rsidRPr="00FF0BA9">
        <w:rPr>
          <w:rFonts w:ascii="Arial" w:hAnsi="Arial" w:cs="Arial"/>
          <w:lang w:val="en-US"/>
        </w:rPr>
        <w:br/>
        <w:t xml:space="preserve">an increasing number of studies has established the range of its influence to be far wider. More and more attention is currently being paid not only to its effect on </w:t>
      </w:r>
      <w:r w:rsidRPr="00FF0BA9">
        <w:rPr>
          <w:rFonts w:ascii="Arial" w:hAnsi="Arial" w:cs="Arial"/>
          <w:lang w:val="en-US"/>
        </w:rPr>
        <w:br/>
        <w:t xml:space="preserve">the cardiovascular system, the nervous system, blood glucose level abnormalities </w:t>
      </w:r>
      <w:r w:rsidRPr="00FF0BA9">
        <w:rPr>
          <w:rFonts w:ascii="Arial" w:hAnsi="Arial" w:cs="Arial"/>
          <w:lang w:val="en-US"/>
        </w:rPr>
        <w:br/>
        <w:t xml:space="preserve">and neoplastic diseases, but also on the immune system. Calcitriol, through activating vitamin D receptor, influences among others the expression of genes responsible </w:t>
      </w:r>
      <w:r w:rsidRPr="00FF0BA9">
        <w:rPr>
          <w:rFonts w:ascii="Arial" w:hAnsi="Arial" w:cs="Arial"/>
          <w:lang w:val="en-US"/>
        </w:rPr>
        <w:br/>
        <w:t xml:space="preserve">for suppressing inflammatory cytokines. Additionally, it stimulates the expression </w:t>
      </w:r>
      <w:r w:rsidRPr="00FF0BA9">
        <w:rPr>
          <w:rFonts w:ascii="Arial" w:hAnsi="Arial" w:cs="Arial"/>
          <w:lang w:val="en-US"/>
        </w:rPr>
        <w:br/>
        <w:t xml:space="preserve">of genes producing cathelicidin, which constututes the first, independent of the immune system cells, line of defence against pathogens. Its synthesis takes place </w:t>
      </w:r>
      <w:r w:rsidRPr="00FF0BA9">
        <w:rPr>
          <w:rFonts w:ascii="Arial" w:hAnsi="Arial" w:cs="Arial"/>
          <w:lang w:val="en-US"/>
        </w:rPr>
        <w:br/>
        <w:t xml:space="preserve">in leukocytes, skin cells and epithelial cells of the respiratory, gastrointestinal </w:t>
      </w:r>
      <w:r w:rsidRPr="00FF0BA9">
        <w:rPr>
          <w:rFonts w:ascii="Arial" w:hAnsi="Arial" w:cs="Arial"/>
          <w:lang w:val="en-US"/>
        </w:rPr>
        <w:br/>
        <w:t>and genitourinary systems.</w:t>
      </w:r>
    </w:p>
    <w:p w:rsidR="00FF0BA9" w:rsidRPr="00FF0BA9" w:rsidRDefault="00FF0BA9" w:rsidP="00FF0BA9">
      <w:pPr>
        <w:spacing w:line="480" w:lineRule="auto"/>
        <w:ind w:firstLine="708"/>
        <w:jc w:val="both"/>
        <w:rPr>
          <w:rFonts w:ascii="Arial" w:hAnsi="Arial" w:cs="Arial"/>
          <w:lang w:val="en-US"/>
        </w:rPr>
      </w:pPr>
      <w:r w:rsidRPr="00FF0BA9">
        <w:rPr>
          <w:rFonts w:ascii="Arial" w:hAnsi="Arial" w:cs="Arial"/>
          <w:lang w:val="en-US"/>
        </w:rPr>
        <w:t xml:space="preserve"> The primary aim of the study was to assess the correlation between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 xml:space="preserve">deficiency and the incidence of respiratory infections in children. More precisely, </w:t>
      </w:r>
      <w:r w:rsidRPr="00FF0BA9">
        <w:rPr>
          <w:rFonts w:ascii="Arial" w:hAnsi="Arial" w:cs="Arial"/>
          <w:lang w:val="en-US"/>
        </w:rPr>
        <w:br/>
        <w:t>we set out to determine the concentration of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 xml:space="preserve">in the blood of children, the incidence of respiratory infections, and the link between the said incidence in relation to age and sex. </w:t>
      </w:r>
    </w:p>
    <w:p w:rsidR="00FF0BA9" w:rsidRPr="00FF0BA9" w:rsidRDefault="00FF0BA9" w:rsidP="00FF0BA9">
      <w:pPr>
        <w:spacing w:line="480" w:lineRule="auto"/>
        <w:ind w:firstLine="708"/>
        <w:jc w:val="both"/>
        <w:rPr>
          <w:rFonts w:ascii="Arial" w:hAnsi="Arial" w:cs="Arial"/>
          <w:lang w:val="en-US"/>
        </w:rPr>
      </w:pPr>
      <w:r w:rsidRPr="00FF0BA9">
        <w:rPr>
          <w:rFonts w:ascii="Arial" w:hAnsi="Arial" w:cs="Arial"/>
          <w:lang w:val="en-US"/>
        </w:rPr>
        <w:t xml:space="preserve">One hundred and seventy-six children, aged from 1 to 18 years, were included in the study. They were all patients of the Primary Healthcare Centre in Bialystok. </w:t>
      </w:r>
      <w:r w:rsidRPr="00FF0BA9">
        <w:rPr>
          <w:rFonts w:ascii="Arial" w:hAnsi="Arial" w:cs="Arial"/>
          <w:lang w:val="en-US"/>
        </w:rPr>
        <w:br/>
      </w:r>
      <w:r w:rsidRPr="00FF0BA9">
        <w:rPr>
          <w:rFonts w:ascii="Arial" w:hAnsi="Arial" w:cs="Arial"/>
          <w:lang w:val="en-US"/>
        </w:rPr>
        <w:lastRenderedPageBreak/>
        <w:t>A median number of respiratory infections was determined for each subject, based on  available medical documentation. Subsequently, the concentration of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>was measured in the blood samples drawn at the medical laboratory. One hundred and four children with the concentration score below 30 ng/ml were assigned to the study group, whereas 72 patients with the concetration above 30 ng/ml constituted the control group. Children from the study group were administered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>in therapeutic doses adapted to their age, whereas children from the control group were prescribed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 xml:space="preserve">in prophylactic doses. Following a year of such supplementation </w:t>
      </w:r>
      <w:r w:rsidRPr="00FF0BA9">
        <w:rPr>
          <w:rFonts w:ascii="Arial" w:hAnsi="Arial" w:cs="Arial"/>
          <w:lang w:val="en-US"/>
        </w:rPr>
        <w:br/>
        <w:t xml:space="preserve">the incidence of respiratory infections was determined again, based on the available medical documentation. </w:t>
      </w:r>
    </w:p>
    <w:p w:rsidR="00FF0BA9" w:rsidRPr="00FF0BA9" w:rsidRDefault="00FF0BA9" w:rsidP="00FF0BA9">
      <w:pPr>
        <w:spacing w:line="480" w:lineRule="auto"/>
        <w:ind w:firstLine="708"/>
        <w:jc w:val="both"/>
        <w:rPr>
          <w:rFonts w:ascii="Arial" w:hAnsi="Arial" w:cs="Arial"/>
          <w:lang w:val="en-US"/>
        </w:rPr>
      </w:pPr>
      <w:r w:rsidRPr="00FF0BA9">
        <w:rPr>
          <w:rFonts w:ascii="Arial" w:hAnsi="Arial" w:cs="Arial"/>
          <w:lang w:val="en-US"/>
        </w:rPr>
        <w:t xml:space="preserve">At the study outset, the results obtained through statistical analysis showed </w:t>
      </w:r>
      <w:r w:rsidRPr="00FF0BA9">
        <w:rPr>
          <w:rFonts w:ascii="Arial" w:hAnsi="Arial" w:cs="Arial"/>
          <w:lang w:val="en-US"/>
        </w:rPr>
        <w:br/>
        <w:t>the incidence of respiratory infections to be higher in children with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 xml:space="preserve">deficiency than in patients with its normal concentration. Moreover, all the children aged from </w:t>
      </w:r>
      <w:r w:rsidRPr="00FF0BA9">
        <w:rPr>
          <w:rFonts w:ascii="Arial" w:hAnsi="Arial" w:cs="Arial"/>
          <w:lang w:val="en-US"/>
        </w:rPr>
        <w:br/>
        <w:t>7 to 18 years displayed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>deficiency. After a year of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 xml:space="preserve">supplementation the incidence of respiratory infections decreased in both groups. </w:t>
      </w:r>
      <w:r w:rsidRPr="00FF0BA9">
        <w:rPr>
          <w:rFonts w:ascii="Arial" w:hAnsi="Arial" w:cs="Arial"/>
          <w:lang w:val="en-US"/>
        </w:rPr>
        <w:br/>
        <w:t xml:space="preserve">In addition, the infections were more frequent in patients from the control group, </w:t>
      </w:r>
      <w:r w:rsidRPr="00FF0BA9">
        <w:rPr>
          <w:rFonts w:ascii="Arial" w:hAnsi="Arial" w:cs="Arial"/>
          <w:lang w:val="en-US"/>
        </w:rPr>
        <w:br/>
        <w:t>who were taking lower doses of vitamin D</w:t>
      </w:r>
      <w:r w:rsidRPr="00FF0BA9">
        <w:rPr>
          <w:rFonts w:ascii="Arial" w:hAnsi="Arial" w:cs="Arial"/>
          <w:vertAlign w:val="subscript"/>
          <w:lang w:val="en-US"/>
        </w:rPr>
        <w:t>3</w:t>
      </w:r>
      <w:r w:rsidRPr="00FF0BA9">
        <w:rPr>
          <w:rFonts w:ascii="Arial" w:hAnsi="Arial" w:cs="Arial"/>
          <w:lang w:val="en-US"/>
        </w:rPr>
        <w:t>,</w:t>
      </w:r>
      <w:r w:rsidRPr="00FF0BA9">
        <w:rPr>
          <w:rFonts w:ascii="Arial" w:hAnsi="Arial" w:cs="Arial"/>
          <w:vertAlign w:val="subscript"/>
          <w:lang w:val="en-US"/>
        </w:rPr>
        <w:t xml:space="preserve"> </w:t>
      </w:r>
      <w:r w:rsidRPr="00FF0BA9">
        <w:rPr>
          <w:rFonts w:ascii="Arial" w:hAnsi="Arial" w:cs="Arial"/>
          <w:lang w:val="en-US"/>
        </w:rPr>
        <w:t>than in the subjects who were administered therapeutic doses.</w:t>
      </w:r>
    </w:p>
    <w:p w:rsidR="00FF0BA9" w:rsidRPr="00FF0BA9" w:rsidRDefault="00FF0BA9" w:rsidP="00FF0BA9">
      <w:pPr>
        <w:spacing w:line="480" w:lineRule="auto"/>
        <w:jc w:val="both"/>
        <w:rPr>
          <w:rFonts w:ascii="Arial" w:hAnsi="Arial" w:cs="Arial"/>
          <w:lang w:val="en-US"/>
        </w:rPr>
        <w:sectPr w:rsidR="00FF0BA9" w:rsidRPr="00FF0BA9" w:rsidSect="00B363D5">
          <w:headerReference w:type="default" r:id="rId5"/>
          <w:pgSz w:w="11900" w:h="16840"/>
          <w:pgMar w:top="1418" w:right="851" w:bottom="1418" w:left="1985" w:header="709" w:footer="709" w:gutter="0"/>
          <w:cols w:space="708"/>
          <w:docGrid w:linePitch="360"/>
        </w:sectPr>
      </w:pPr>
      <w:r w:rsidRPr="00FF0BA9">
        <w:rPr>
          <w:rFonts w:ascii="Arial" w:hAnsi="Arial" w:cs="Arial"/>
          <w:lang w:val="en-US"/>
        </w:rPr>
        <w:tab/>
        <w:t>It must therefore be concluded that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>may constitute a cheap, safe and widely available immunomodulatory factor. In addition, vitamin D</w:t>
      </w:r>
      <w:r w:rsidRPr="00FF0BA9">
        <w:rPr>
          <w:rFonts w:ascii="Arial" w:hAnsi="Arial" w:cs="Arial"/>
          <w:vertAlign w:val="subscript"/>
          <w:lang w:val="en-US"/>
        </w:rPr>
        <w:t xml:space="preserve">3 </w:t>
      </w:r>
      <w:r w:rsidRPr="00FF0BA9">
        <w:rPr>
          <w:rFonts w:ascii="Arial" w:hAnsi="Arial" w:cs="Arial"/>
          <w:lang w:val="en-US"/>
        </w:rPr>
        <w:t>ought to become one of the parametres assessed in children with frequent and recurrent respiratory tract infections.</w:t>
      </w:r>
    </w:p>
    <w:p w:rsidR="00973673" w:rsidRPr="00FF0BA9" w:rsidRDefault="00973673" w:rsidP="00FF0BA9">
      <w:pPr>
        <w:rPr>
          <w:lang w:val="en-US"/>
        </w:rPr>
      </w:pPr>
      <w:bookmarkStart w:id="1" w:name="_GoBack"/>
      <w:bookmarkEnd w:id="1"/>
    </w:p>
    <w:sectPr w:rsidR="00973673" w:rsidRPr="00FF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A05" w:rsidRDefault="00FF0BA9" w:rsidP="0053693E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62A05" w:rsidRDefault="00FF0BA9" w:rsidP="004468BD">
    <w:pPr>
      <w:pStyle w:val="Nagwek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F2BFA" wp14:editId="23B6FC8D">
              <wp:simplePos x="0" y="0"/>
              <wp:positionH relativeFrom="column">
                <wp:posOffset>-46991</wp:posOffset>
              </wp:positionH>
              <wp:positionV relativeFrom="paragraph">
                <wp:posOffset>238125</wp:posOffset>
              </wp:positionV>
              <wp:extent cx="5865495" cy="2540"/>
              <wp:effectExtent l="0" t="0" r="27305" b="4826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5495" cy="25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D5E109" id="Łącznik prosty 10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8.75pt" to="458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" strokecolor="black [3213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t>7. Streszczenie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2FDA"/>
    <w:multiLevelType w:val="multilevel"/>
    <w:tmpl w:val="A9E405B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A9"/>
    <w:rsid w:val="00973673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3D76"/>
  <w15:chartTrackingRefBased/>
  <w15:docId w15:val="{75F16F80-3597-468A-A940-AB89EFD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BA9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BA9"/>
    <w:pPr>
      <w:keepNext/>
      <w:keepLines/>
      <w:numPr>
        <w:numId w:val="1"/>
      </w:numPr>
      <w:spacing w:before="240"/>
      <w:ind w:left="720"/>
      <w:outlineLvl w:val="0"/>
    </w:pPr>
    <w:rPr>
      <w:rFonts w:ascii="Arial" w:eastAsiaTheme="majorEastAsia" w:hAnsi="Arial" w:cs="Arial"/>
      <w:b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BA9"/>
    <w:rPr>
      <w:rFonts w:ascii="Arial" w:eastAsiaTheme="majorEastAsia" w:hAnsi="Arial" w:cs="Arial"/>
      <w:b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F0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BA9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FF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2017-06-12T11:20:00Z</dcterms:created>
  <dcterms:modified xsi:type="dcterms:W3CDTF">2017-06-12T11:21:00Z</dcterms:modified>
</cp:coreProperties>
</file>