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29B" w:rsidRPr="00DE2A43" w:rsidRDefault="00C4229B" w:rsidP="00C4229B">
      <w:pPr>
        <w:tabs>
          <w:tab w:val="left" w:pos="709"/>
        </w:tabs>
        <w:autoSpaceDE w:val="0"/>
        <w:autoSpaceDN w:val="0"/>
        <w:adjustRightInd w:val="0"/>
        <w:spacing w:line="276" w:lineRule="auto"/>
        <w:jc w:val="both"/>
        <w:outlineLvl w:val="0"/>
        <w:rPr>
          <w:rFonts w:ascii="Book Antiqua" w:hAnsi="Book Antiqua" w:cs="AdvOT07517017"/>
          <w:b/>
          <w:lang w:val="en-US"/>
        </w:rPr>
      </w:pPr>
      <w:r w:rsidRPr="00DE2A43">
        <w:rPr>
          <w:rFonts w:ascii="Book Antiqua" w:hAnsi="Book Antiqua" w:cs="AdvOT07517017"/>
          <w:b/>
          <w:lang w:val="en-US"/>
        </w:rPr>
        <w:t>SUMMARY</w:t>
      </w:r>
    </w:p>
    <w:p w:rsidR="00C4229B" w:rsidRPr="00DE2A43" w:rsidRDefault="00C4229B" w:rsidP="00C4229B">
      <w:pPr>
        <w:tabs>
          <w:tab w:val="left" w:pos="709"/>
        </w:tabs>
        <w:autoSpaceDE w:val="0"/>
        <w:autoSpaceDN w:val="0"/>
        <w:adjustRightInd w:val="0"/>
        <w:spacing w:line="276" w:lineRule="auto"/>
        <w:jc w:val="both"/>
        <w:rPr>
          <w:rFonts w:ascii="Book Antiqua" w:hAnsi="Book Antiqua" w:cs="AdvOT07517017"/>
          <w:b/>
          <w:lang w:val="en-US"/>
        </w:rPr>
      </w:pPr>
    </w:p>
    <w:p w:rsidR="00C4229B" w:rsidRPr="00BB25FE" w:rsidRDefault="00C4229B" w:rsidP="00C4229B">
      <w:pPr>
        <w:tabs>
          <w:tab w:val="left" w:pos="709"/>
        </w:tabs>
        <w:autoSpaceDE w:val="0"/>
        <w:autoSpaceDN w:val="0"/>
        <w:adjustRightInd w:val="0"/>
        <w:spacing w:line="360" w:lineRule="auto"/>
        <w:jc w:val="both"/>
        <w:rPr>
          <w:rFonts w:ascii="Book Antiqua" w:hAnsi="Book Antiqua" w:cs="AdvOT07517017"/>
          <w:color w:val="FF0000"/>
          <w:lang w:val="en-US"/>
        </w:rPr>
      </w:pPr>
      <w:r w:rsidRPr="00DE2A43">
        <w:rPr>
          <w:rFonts w:ascii="Book Antiqua" w:hAnsi="Book Antiqua" w:cs="AdvOT07517017"/>
          <w:b/>
          <w:lang w:val="en-US"/>
        </w:rPr>
        <w:tab/>
      </w:r>
      <w:r w:rsidRPr="00DE2A43">
        <w:rPr>
          <w:rFonts w:ascii="Book Antiqua" w:hAnsi="Book Antiqua" w:cs="AdvOT07517017"/>
          <w:lang w:val="en-US"/>
        </w:rPr>
        <w:t>CD4</w:t>
      </w:r>
      <w:r w:rsidRPr="00DE2A43">
        <w:rPr>
          <w:rFonts w:ascii="Book Antiqua" w:hAnsi="Book Antiqua" w:cs="AdvOT07517017"/>
          <w:vertAlign w:val="superscript"/>
          <w:lang w:val="en-US"/>
        </w:rPr>
        <w:t xml:space="preserve">+ </w:t>
      </w:r>
      <w:r w:rsidRPr="00DE2A43">
        <w:rPr>
          <w:rFonts w:ascii="Book Antiqua" w:hAnsi="Book Antiqua" w:cs="AdvOT07517017"/>
          <w:lang w:val="en-US"/>
        </w:rPr>
        <w:t>T helper cells type 2 (Th2) that can synthesize cytokines including IL-4, IL-5, IL-13 play a significant role in the initiation and intensification of allergic inflammation in the course of allergic diseases, such as allergic rhinitis</w:t>
      </w:r>
      <w:r>
        <w:rPr>
          <w:rFonts w:ascii="Book Antiqua" w:hAnsi="Book Antiqua" w:cs="AdvOT07517017"/>
          <w:lang w:val="en-US"/>
        </w:rPr>
        <w:t>,</w:t>
      </w:r>
      <w:r w:rsidRPr="00DE2A43">
        <w:rPr>
          <w:rFonts w:ascii="Book Antiqua" w:hAnsi="Book Antiqua" w:cs="AdvOT07517017"/>
          <w:lang w:val="en-US"/>
        </w:rPr>
        <w:t xml:space="preserve"> </w:t>
      </w:r>
      <w:r>
        <w:rPr>
          <w:rFonts w:ascii="Book Antiqua" w:hAnsi="Book Antiqua" w:cs="AdvOT07517017"/>
          <w:lang w:val="en-US"/>
        </w:rPr>
        <w:t>bronchial asthma or atopic dermatitis. T</w:t>
      </w:r>
      <w:r w:rsidRPr="00DE2A43">
        <w:rPr>
          <w:rFonts w:ascii="Book Antiqua" w:hAnsi="Book Antiqua" w:cs="AdvOT07517017"/>
          <w:lang w:val="en-US"/>
        </w:rPr>
        <w:t>he subpopulation of CD4</w:t>
      </w:r>
      <w:r w:rsidRPr="00DE2A43">
        <w:rPr>
          <w:rFonts w:ascii="Book Antiqua" w:hAnsi="Book Antiqua" w:cs="AdvOT07517017"/>
          <w:vertAlign w:val="superscript"/>
          <w:lang w:val="en-US"/>
        </w:rPr>
        <w:t xml:space="preserve">+ </w:t>
      </w:r>
      <w:r w:rsidRPr="00DE2A43">
        <w:rPr>
          <w:rFonts w:ascii="Book Antiqua" w:hAnsi="Book Antiqua" w:cs="AdvOT07517017"/>
          <w:lang w:val="en-US"/>
        </w:rPr>
        <w:t xml:space="preserve">T cells with </w:t>
      </w:r>
      <w:proofErr w:type="spellStart"/>
      <w:r w:rsidRPr="00DE2A43">
        <w:rPr>
          <w:rFonts w:ascii="Book Antiqua" w:hAnsi="Book Antiqua" w:cs="AdvOT07517017"/>
          <w:lang w:val="en-US"/>
        </w:rPr>
        <w:t>suppressory</w:t>
      </w:r>
      <w:proofErr w:type="spellEnd"/>
      <w:r w:rsidRPr="00DE2A43">
        <w:rPr>
          <w:rFonts w:ascii="Book Antiqua" w:hAnsi="Book Antiqua" w:cs="AdvOT07517017"/>
          <w:lang w:val="en-US"/>
        </w:rPr>
        <w:t xml:space="preserve"> properties, defined as regulatory T cells (</w:t>
      </w:r>
      <w:proofErr w:type="spellStart"/>
      <w:r w:rsidRPr="00DE2A43">
        <w:rPr>
          <w:rFonts w:ascii="Book Antiqua" w:hAnsi="Book Antiqua" w:cs="AdvOT07517017"/>
          <w:lang w:val="en-US"/>
        </w:rPr>
        <w:t>Treg</w:t>
      </w:r>
      <w:proofErr w:type="spellEnd"/>
      <w:r w:rsidRPr="00DE2A43">
        <w:rPr>
          <w:rFonts w:ascii="Book Antiqua" w:hAnsi="Book Antiqua" w:cs="AdvOT07517017"/>
          <w:lang w:val="en-US"/>
        </w:rPr>
        <w:t>)</w:t>
      </w:r>
      <w:r>
        <w:rPr>
          <w:rFonts w:ascii="Book Antiqua" w:hAnsi="Book Antiqua" w:cs="AdvOT07517017"/>
          <w:lang w:val="en-US"/>
        </w:rPr>
        <w:t>, has been described</w:t>
      </w:r>
      <w:r w:rsidRPr="00D4188A">
        <w:rPr>
          <w:rFonts w:ascii="Book Antiqua" w:hAnsi="Book Antiqua" w:cs="AdvOT07517017"/>
          <w:lang w:val="en-US"/>
        </w:rPr>
        <w:t xml:space="preserve"> </w:t>
      </w:r>
      <w:r>
        <w:rPr>
          <w:rFonts w:ascii="Book Antiqua" w:hAnsi="Book Antiqua" w:cs="AdvOT07517017"/>
          <w:lang w:val="en-US"/>
        </w:rPr>
        <w:t>r</w:t>
      </w:r>
      <w:r w:rsidRPr="00DE2A43">
        <w:rPr>
          <w:rFonts w:ascii="Book Antiqua" w:hAnsi="Book Antiqua" w:cs="AdvOT07517017"/>
          <w:lang w:val="en-US"/>
        </w:rPr>
        <w:t xml:space="preserve">elatively recently. Distinguishing characteristic of </w:t>
      </w:r>
      <w:proofErr w:type="spellStart"/>
      <w:r w:rsidRPr="00DE2A43">
        <w:rPr>
          <w:rFonts w:ascii="Book Antiqua" w:hAnsi="Book Antiqua" w:cs="AdvOT07517017"/>
          <w:lang w:val="en-US"/>
        </w:rPr>
        <w:t>Treg</w:t>
      </w:r>
      <w:proofErr w:type="spellEnd"/>
      <w:r w:rsidRPr="00DE2A43">
        <w:rPr>
          <w:rFonts w:ascii="Book Antiqua" w:hAnsi="Book Antiqua" w:cs="AdvOT07517017"/>
          <w:lang w:val="en-US"/>
        </w:rPr>
        <w:t xml:space="preserve"> cells is co-expression of CD25 receptor, transcription factor FoxP3 and low or lack of CD127 receptor expression. The </w:t>
      </w:r>
      <w:r w:rsidRPr="00DE2A43">
        <w:rPr>
          <w:rFonts w:ascii="Book Antiqua" w:hAnsi="Book Antiqua" w:cs="AdvOT07517017"/>
          <w:i/>
          <w:lang w:val="en-US"/>
        </w:rPr>
        <w:t>in vitro</w:t>
      </w:r>
      <w:r w:rsidRPr="00DE2A43">
        <w:rPr>
          <w:rFonts w:ascii="Book Antiqua" w:hAnsi="Book Antiqua" w:cs="AdvOT07517017"/>
          <w:lang w:val="en-US"/>
        </w:rPr>
        <w:t xml:space="preserve"> studies proved the role of </w:t>
      </w:r>
      <w:proofErr w:type="spellStart"/>
      <w:r w:rsidRPr="00DE2A43">
        <w:rPr>
          <w:rFonts w:ascii="Book Antiqua" w:hAnsi="Book Antiqua" w:cs="AdvOT07517017"/>
          <w:lang w:val="en-US"/>
        </w:rPr>
        <w:t>Treg</w:t>
      </w:r>
      <w:proofErr w:type="spellEnd"/>
      <w:r w:rsidRPr="00DE2A43">
        <w:rPr>
          <w:rFonts w:ascii="Book Antiqua" w:hAnsi="Book Antiqua" w:cs="AdvOT07517017"/>
          <w:lang w:val="en-US"/>
        </w:rPr>
        <w:t xml:space="preserve"> cells in the inhibition of Th2 cells proliferation.</w:t>
      </w:r>
      <w:r>
        <w:rPr>
          <w:rFonts w:ascii="Book Antiqua" w:hAnsi="Book Antiqua" w:cs="AdvOT07517017"/>
          <w:color w:val="FF0000"/>
          <w:lang w:val="en-US"/>
        </w:rPr>
        <w:t xml:space="preserve"> </w:t>
      </w:r>
    </w:p>
    <w:p w:rsidR="00C4229B" w:rsidRPr="00E30B75" w:rsidRDefault="00C4229B" w:rsidP="00C4229B">
      <w:pPr>
        <w:tabs>
          <w:tab w:val="left" w:pos="709"/>
        </w:tabs>
        <w:autoSpaceDE w:val="0"/>
        <w:autoSpaceDN w:val="0"/>
        <w:adjustRightInd w:val="0"/>
        <w:spacing w:line="360" w:lineRule="auto"/>
        <w:jc w:val="both"/>
        <w:rPr>
          <w:rFonts w:ascii="Book Antiqua" w:hAnsi="Book Antiqua" w:cs="AdvOT07517017"/>
          <w:lang w:val="en-US"/>
        </w:rPr>
      </w:pPr>
      <w:r w:rsidRPr="00BB25FE">
        <w:rPr>
          <w:rFonts w:ascii="Book Antiqua" w:hAnsi="Book Antiqua" w:cs="AdvOT07517017"/>
          <w:lang w:val="en-US"/>
        </w:rPr>
        <w:tab/>
      </w:r>
      <w:r w:rsidRPr="00DE2A43">
        <w:rPr>
          <w:rFonts w:ascii="Book Antiqua" w:hAnsi="Book Antiqua" w:cs="AdvOT07517017"/>
          <w:lang w:val="en-US"/>
        </w:rPr>
        <w:t>The allergen immunotherapy (AIT) relies on repeated administration of increasing</w:t>
      </w:r>
      <w:r>
        <w:rPr>
          <w:rFonts w:ascii="Book Antiqua" w:hAnsi="Book Antiqua" w:cs="AdvOT07517017"/>
          <w:lang w:val="en-US"/>
        </w:rPr>
        <w:t xml:space="preserve"> doses</w:t>
      </w:r>
      <w:r w:rsidRPr="00DE2A43">
        <w:rPr>
          <w:rFonts w:ascii="Book Antiqua" w:hAnsi="Book Antiqua" w:cs="AdvOT07517017"/>
          <w:lang w:val="en-US"/>
        </w:rPr>
        <w:t>, followed by maintenance doses</w:t>
      </w:r>
      <w:r>
        <w:rPr>
          <w:rFonts w:ascii="Book Antiqua" w:hAnsi="Book Antiqua" w:cs="AdvOT07517017"/>
          <w:lang w:val="en-US"/>
        </w:rPr>
        <w:t>,</w:t>
      </w:r>
      <w:r w:rsidRPr="00DE2A43">
        <w:rPr>
          <w:rFonts w:ascii="Book Antiqua" w:hAnsi="Book Antiqua" w:cs="AdvOT07517017"/>
          <w:lang w:val="en-US"/>
        </w:rPr>
        <w:t xml:space="preserve"> of sensitizing allergen applied subcutaneously or subling</w:t>
      </w:r>
      <w:r>
        <w:rPr>
          <w:rFonts w:ascii="Book Antiqua" w:hAnsi="Book Antiqua" w:cs="AdvOT07517017"/>
          <w:lang w:val="en-US"/>
        </w:rPr>
        <w:t>u</w:t>
      </w:r>
      <w:r w:rsidRPr="00DE2A43">
        <w:rPr>
          <w:rFonts w:ascii="Book Antiqua" w:hAnsi="Book Antiqua" w:cs="AdvOT07517017"/>
          <w:lang w:val="en-US"/>
        </w:rPr>
        <w:t xml:space="preserve">ally. The aim of the therapy is induction of immune tolerance manifested by reduction or elimination of clinical symptoms of allergic disease. One of the considered mechanisms influencing the effectiveness of allergen immunotherapy is suppression of Th2 cells. Taking into consideration interlinkage between </w:t>
      </w:r>
      <w:proofErr w:type="spellStart"/>
      <w:r w:rsidRPr="00DE2A43">
        <w:rPr>
          <w:rFonts w:ascii="Book Antiqua" w:hAnsi="Book Antiqua" w:cs="AdvOT07517017"/>
          <w:lang w:val="en-US"/>
        </w:rPr>
        <w:t>Treg</w:t>
      </w:r>
      <w:proofErr w:type="spellEnd"/>
      <w:r w:rsidRPr="00DE2A43">
        <w:rPr>
          <w:rFonts w:ascii="Book Antiqua" w:hAnsi="Book Antiqua" w:cs="AdvOT07517017"/>
          <w:lang w:val="en-US"/>
        </w:rPr>
        <w:t xml:space="preserve"> and Th2 cells, one of the reasons of induction and intensification of allergic reaction may be due to </w:t>
      </w:r>
      <w:proofErr w:type="spellStart"/>
      <w:r w:rsidRPr="00DE2A43">
        <w:rPr>
          <w:rFonts w:ascii="Book Antiqua" w:hAnsi="Book Antiqua" w:cs="AdvOT07517017"/>
          <w:lang w:val="en-US"/>
        </w:rPr>
        <w:t>Treg</w:t>
      </w:r>
      <w:proofErr w:type="spellEnd"/>
      <w:r w:rsidRPr="00DE2A43">
        <w:rPr>
          <w:rFonts w:ascii="Book Antiqua" w:hAnsi="Book Antiqua" w:cs="AdvOT07517017"/>
          <w:lang w:val="en-US"/>
        </w:rPr>
        <w:t xml:space="preserve"> cells dysfunction. The evaluation of </w:t>
      </w:r>
      <w:proofErr w:type="spellStart"/>
      <w:r w:rsidRPr="00DE2A43">
        <w:rPr>
          <w:rFonts w:ascii="Book Antiqua" w:hAnsi="Book Antiqua" w:cs="AdvOT07517017"/>
          <w:lang w:val="en-US"/>
        </w:rPr>
        <w:t>Treg</w:t>
      </w:r>
      <w:proofErr w:type="spellEnd"/>
      <w:r w:rsidRPr="00DE2A43">
        <w:rPr>
          <w:rFonts w:ascii="Book Antiqua" w:hAnsi="Book Antiqua" w:cs="AdvOT07517017"/>
          <w:lang w:val="en-US"/>
        </w:rPr>
        <w:t xml:space="preserve"> cells activation level could serve as an indicator of tolerance induction efficiency for allergen in patients treated with AIT.</w:t>
      </w:r>
    </w:p>
    <w:p w:rsidR="00C4229B" w:rsidRPr="00DE2A43" w:rsidRDefault="00C4229B" w:rsidP="00C4229B">
      <w:pPr>
        <w:tabs>
          <w:tab w:val="left" w:pos="709"/>
        </w:tabs>
        <w:autoSpaceDE w:val="0"/>
        <w:autoSpaceDN w:val="0"/>
        <w:adjustRightInd w:val="0"/>
        <w:spacing w:line="360" w:lineRule="auto"/>
        <w:jc w:val="both"/>
        <w:rPr>
          <w:rFonts w:ascii="Book Antiqua" w:hAnsi="Book Antiqua" w:cs="AdvOT07517017"/>
          <w:color w:val="000000" w:themeColor="text1"/>
          <w:lang w:val="en-US"/>
        </w:rPr>
      </w:pPr>
      <w:r>
        <w:rPr>
          <w:rFonts w:ascii="Book Antiqua" w:hAnsi="Book Antiqua" w:cs="AdvOT07517017"/>
          <w:lang w:val="en-US"/>
        </w:rPr>
        <w:tab/>
      </w:r>
      <w:r w:rsidRPr="00DE2A43">
        <w:rPr>
          <w:rFonts w:ascii="Book Antiqua" w:hAnsi="Book Antiqua" w:cs="AdvOT07517017"/>
          <w:lang w:val="en-US"/>
        </w:rPr>
        <w:t xml:space="preserve">On the basis of the above data, the aim of </w:t>
      </w:r>
      <w:r w:rsidRPr="00442D25">
        <w:rPr>
          <w:rFonts w:ascii="Book Antiqua" w:hAnsi="Book Antiqua" w:cs="AdvOT07517017"/>
          <w:color w:val="000000" w:themeColor="text1"/>
          <w:lang w:val="en-US"/>
        </w:rPr>
        <w:t xml:space="preserve">this study is </w:t>
      </w:r>
      <w:r w:rsidRPr="00DE2A43">
        <w:rPr>
          <w:rFonts w:ascii="Book Antiqua" w:hAnsi="Book Antiqua" w:cs="AdvOT07517017"/>
          <w:color w:val="000000" w:themeColor="text1"/>
          <w:lang w:val="en-US"/>
        </w:rPr>
        <w:t xml:space="preserve">the evaluation of the role of regulatory T cells in allergen tolerance induction in patients who suffer from intermittent allergic rhinitis (IAR), allergic to </w:t>
      </w:r>
      <w:r w:rsidRPr="00290108">
        <w:rPr>
          <w:rFonts w:ascii="Book Antiqua" w:hAnsi="Book Antiqua" w:cs="AdvOT07517017"/>
          <w:color w:val="000000" w:themeColor="text1"/>
          <w:lang w:val="en-US"/>
        </w:rPr>
        <w:t>grass pollen</w:t>
      </w:r>
      <w:r w:rsidRPr="00DE2A43">
        <w:rPr>
          <w:rFonts w:ascii="Book Antiqua" w:hAnsi="Book Antiqua" w:cs="AdvOT07517017"/>
          <w:color w:val="000000" w:themeColor="text1"/>
          <w:lang w:val="en-US"/>
        </w:rPr>
        <w:t>, undergoing allergen immunotherapy.</w:t>
      </w:r>
    </w:p>
    <w:p w:rsidR="00C4229B" w:rsidRPr="00DE2A43" w:rsidRDefault="00C4229B" w:rsidP="00C4229B">
      <w:pPr>
        <w:tabs>
          <w:tab w:val="left" w:pos="709"/>
        </w:tabs>
        <w:autoSpaceDE w:val="0"/>
        <w:autoSpaceDN w:val="0"/>
        <w:adjustRightInd w:val="0"/>
        <w:spacing w:line="360" w:lineRule="auto"/>
        <w:jc w:val="both"/>
        <w:rPr>
          <w:rFonts w:ascii="Book Antiqua" w:hAnsi="Book Antiqua" w:cs="AdvOT07517017"/>
          <w:color w:val="000000" w:themeColor="text1"/>
          <w:lang w:val="en-US"/>
        </w:rPr>
      </w:pPr>
      <w:r w:rsidRPr="00DE2A43">
        <w:rPr>
          <w:rFonts w:ascii="Book Antiqua" w:hAnsi="Book Antiqua" w:cs="AdvOT07517017"/>
          <w:color w:val="000000" w:themeColor="text1"/>
          <w:lang w:val="en-US"/>
        </w:rPr>
        <w:tab/>
        <w:t>The study group consisted of 90 grass pollen sensitive patients of both genders, aged 21. to 62.</w:t>
      </w:r>
      <w:r>
        <w:rPr>
          <w:rFonts w:ascii="Book Antiqua" w:hAnsi="Book Antiqua" w:cs="AdvOT07517017"/>
          <w:color w:val="000000" w:themeColor="text1"/>
          <w:lang w:val="en-US"/>
        </w:rPr>
        <w:t xml:space="preserve"> years (mean 38,5</w:t>
      </w:r>
      <w:r w:rsidRPr="00515F02">
        <w:rPr>
          <w:rFonts w:ascii="Book Antiqua" w:hAnsi="Book Antiqua" w:cs="AdvOT07517017"/>
          <w:color w:val="000000" w:themeColor="text1"/>
        </w:rPr>
        <w:sym w:font="Symbol" w:char="F0B1"/>
      </w:r>
      <w:r w:rsidRPr="00DE2A43">
        <w:rPr>
          <w:rFonts w:ascii="Book Antiqua" w:hAnsi="Book Antiqua" w:cs="AdvOT07517017"/>
          <w:color w:val="000000" w:themeColor="text1"/>
          <w:lang w:val="en-US"/>
        </w:rPr>
        <w:t>12,3 years)</w:t>
      </w:r>
      <w:r>
        <w:rPr>
          <w:rFonts w:ascii="Book Antiqua" w:hAnsi="Book Antiqua" w:cs="AdvOT07517017"/>
          <w:color w:val="000000" w:themeColor="text1"/>
          <w:lang w:val="en-US"/>
        </w:rPr>
        <w:t>,</w:t>
      </w:r>
      <w:r w:rsidRPr="00DE2A43">
        <w:rPr>
          <w:rFonts w:ascii="Book Antiqua" w:hAnsi="Book Antiqua" w:cs="AdvOT07517017"/>
          <w:color w:val="000000" w:themeColor="text1"/>
          <w:lang w:val="en-US"/>
        </w:rPr>
        <w:t xml:space="preserve"> suffering from intermittent al</w:t>
      </w:r>
      <w:r>
        <w:rPr>
          <w:rFonts w:ascii="Book Antiqua" w:hAnsi="Book Antiqua" w:cs="AdvOT07517017"/>
          <w:color w:val="000000" w:themeColor="text1"/>
          <w:lang w:val="en-US"/>
        </w:rPr>
        <w:t>lergic rhinitis with at least 2-</w:t>
      </w:r>
      <w:r w:rsidRPr="00DE2A43">
        <w:rPr>
          <w:rFonts w:ascii="Book Antiqua" w:hAnsi="Book Antiqua" w:cs="AdvOT07517017"/>
          <w:color w:val="000000" w:themeColor="text1"/>
          <w:lang w:val="en-US"/>
        </w:rPr>
        <w:t>year period of medical history. IAR diagnosis was based on commonly used criteria that included occurrence of symptoms for less than 4 days a week or for less than 4 consecutive weeks a year. All patients were treated with allergen immunotherapy with an extract of grass pollen mixture (</w:t>
      </w:r>
      <w:proofErr w:type="spellStart"/>
      <w:r w:rsidRPr="00DE2A43">
        <w:rPr>
          <w:rFonts w:ascii="Book Antiqua" w:hAnsi="Book Antiqua" w:cs="AdvOT07517017"/>
          <w:color w:val="000000" w:themeColor="text1"/>
          <w:lang w:val="en-US"/>
        </w:rPr>
        <w:t>Purethal</w:t>
      </w:r>
      <w:proofErr w:type="spellEnd"/>
      <w:r w:rsidRPr="00DE2A43">
        <w:rPr>
          <w:rFonts w:ascii="Book Antiqua" w:hAnsi="Book Antiqua" w:cs="AdvOT07517017"/>
          <w:color w:val="000000" w:themeColor="text1"/>
          <w:lang w:val="en-US"/>
        </w:rPr>
        <w:t>, Hal Allergy B.V. Leiden,</w:t>
      </w:r>
      <w:r>
        <w:rPr>
          <w:rFonts w:ascii="Book Antiqua" w:hAnsi="Book Antiqua" w:cs="AdvOT07517017"/>
          <w:color w:val="000000" w:themeColor="text1"/>
          <w:lang w:val="en-US"/>
        </w:rPr>
        <w:t xml:space="preserve"> Holland) for the period of three</w:t>
      </w:r>
      <w:r w:rsidRPr="00DE2A43">
        <w:rPr>
          <w:rFonts w:ascii="Book Antiqua" w:hAnsi="Book Antiqua" w:cs="AdvOT07517017"/>
          <w:color w:val="000000" w:themeColor="text1"/>
          <w:lang w:val="en-US"/>
        </w:rPr>
        <w:t xml:space="preserve"> years. The control group included 30 grass </w:t>
      </w:r>
      <w:r w:rsidRPr="00DE2A43">
        <w:rPr>
          <w:rFonts w:ascii="Book Antiqua" w:hAnsi="Book Antiqua" w:cs="AdvOT07517017"/>
          <w:color w:val="000000" w:themeColor="text1"/>
          <w:lang w:val="en-US"/>
        </w:rPr>
        <w:lastRenderedPageBreak/>
        <w:t>pollen sensitive patients, suffering from intermittent allergic rhinitis, untreated with AIT.</w:t>
      </w:r>
    </w:p>
    <w:p w:rsidR="00C4229B" w:rsidRPr="00DE2A43" w:rsidRDefault="00C4229B" w:rsidP="00C4229B">
      <w:pPr>
        <w:spacing w:line="360" w:lineRule="auto"/>
        <w:ind w:firstLine="708"/>
        <w:jc w:val="both"/>
        <w:rPr>
          <w:rFonts w:ascii="Book Antiqua" w:hAnsi="Book Antiqua"/>
          <w:lang w:val="en-US"/>
        </w:rPr>
      </w:pPr>
      <w:r w:rsidRPr="00DE2A43">
        <w:rPr>
          <w:rFonts w:ascii="Book Antiqua" w:hAnsi="Book Antiqua"/>
          <w:lang w:val="en-US"/>
        </w:rPr>
        <w:t xml:space="preserve">To investigate the </w:t>
      </w:r>
      <w:r w:rsidRPr="00290108">
        <w:rPr>
          <w:rFonts w:ascii="Book Antiqua" w:hAnsi="Book Antiqua"/>
          <w:color w:val="000000" w:themeColor="text1"/>
          <w:lang w:val="en-US"/>
        </w:rPr>
        <w:t xml:space="preserve">change dynamics of the </w:t>
      </w:r>
      <w:r w:rsidRPr="00DE2A43">
        <w:rPr>
          <w:rFonts w:ascii="Book Antiqua" w:hAnsi="Book Antiqua"/>
          <w:lang w:val="en-US"/>
        </w:rPr>
        <w:t xml:space="preserve">estimated parameters, the research was conducted for each patient in the period of intensified allergen exposure, from the beginning of June until the end of July (summer assessment) and outside the pollen season, from the beginning of January until the end of February (winter assessment). </w:t>
      </w:r>
    </w:p>
    <w:p w:rsidR="00C4229B" w:rsidRPr="009B5BEB" w:rsidRDefault="00C4229B" w:rsidP="00C4229B">
      <w:pPr>
        <w:spacing w:line="360" w:lineRule="auto"/>
        <w:jc w:val="both"/>
        <w:rPr>
          <w:rFonts w:ascii="Book Antiqua" w:hAnsi="Book Antiqua"/>
          <w:color w:val="FF0000"/>
          <w:lang w:val="en-US"/>
        </w:rPr>
      </w:pPr>
      <w:r>
        <w:rPr>
          <w:rFonts w:ascii="Book Antiqua" w:hAnsi="Book Antiqua"/>
          <w:lang w:val="en-US"/>
        </w:rPr>
        <w:tab/>
      </w:r>
      <w:r w:rsidRPr="00DE2A43">
        <w:rPr>
          <w:rFonts w:ascii="Book Antiqua" w:hAnsi="Book Antiqua"/>
          <w:lang w:val="en-US"/>
        </w:rPr>
        <w:t xml:space="preserve">Biological material used in this study was venous blood collected </w:t>
      </w:r>
      <w:r>
        <w:rPr>
          <w:rFonts w:ascii="Book Antiqua" w:hAnsi="Book Antiqua"/>
          <w:lang w:val="en-US"/>
        </w:rPr>
        <w:t>with</w:t>
      </w:r>
      <w:r w:rsidRPr="00DE2A43">
        <w:rPr>
          <w:rFonts w:ascii="Book Antiqua" w:hAnsi="Book Antiqua"/>
          <w:lang w:val="en-US"/>
        </w:rPr>
        <w:t xml:space="preserve"> anticoagulant EDTA and without</w:t>
      </w:r>
      <w:r>
        <w:rPr>
          <w:rFonts w:ascii="Book Antiqua" w:hAnsi="Book Antiqua"/>
          <w:lang w:val="en-US"/>
        </w:rPr>
        <w:t xml:space="preserve"> the</w:t>
      </w:r>
      <w:r w:rsidRPr="00DE2A43">
        <w:rPr>
          <w:rFonts w:ascii="Book Antiqua" w:hAnsi="Book Antiqua"/>
          <w:lang w:val="en-US"/>
        </w:rPr>
        <w:t xml:space="preserve"> </w:t>
      </w:r>
      <w:r w:rsidRPr="00FC7873">
        <w:rPr>
          <w:rFonts w:ascii="Book Antiqua" w:hAnsi="Book Antiqua"/>
          <w:color w:val="000000" w:themeColor="text1"/>
          <w:lang w:val="en-US"/>
        </w:rPr>
        <w:t>anticoagulan</w:t>
      </w:r>
      <w:r>
        <w:rPr>
          <w:rFonts w:ascii="Book Antiqua" w:hAnsi="Book Antiqua"/>
          <w:color w:val="000000" w:themeColor="text1"/>
          <w:lang w:val="en-US"/>
        </w:rPr>
        <w:t xml:space="preserve">t. </w:t>
      </w:r>
      <w:r w:rsidRPr="00DE2A43">
        <w:rPr>
          <w:rFonts w:ascii="Book Antiqua" w:hAnsi="Book Antiqua"/>
          <w:color w:val="000000" w:themeColor="text1"/>
          <w:lang w:val="en-US"/>
        </w:rPr>
        <w:t>In the laboratory tests, for each patient was evaluate</w:t>
      </w:r>
      <w:r>
        <w:rPr>
          <w:rFonts w:ascii="Book Antiqua" w:hAnsi="Book Antiqua"/>
          <w:color w:val="000000" w:themeColor="text1"/>
          <w:lang w:val="en-US"/>
        </w:rPr>
        <w:t xml:space="preserve">d total and allergen-specific immunoglobulin </w:t>
      </w:r>
      <w:r w:rsidRPr="00DE2A43">
        <w:rPr>
          <w:rFonts w:ascii="Book Antiqua" w:hAnsi="Book Antiqua"/>
          <w:color w:val="000000" w:themeColor="text1"/>
          <w:lang w:val="en-US"/>
        </w:rPr>
        <w:t xml:space="preserve">E serum concentration, and in the peripheral blood samples the percentage and absolute values of lymphocytes, percentage of </w:t>
      </w:r>
      <w:r>
        <w:rPr>
          <w:rFonts w:ascii="Book Antiqua" w:hAnsi="Book Antiqua"/>
          <w:color w:val="000000" w:themeColor="text1"/>
          <w:lang w:val="en-US"/>
        </w:rPr>
        <w:t xml:space="preserve"> </w:t>
      </w:r>
      <w:r w:rsidRPr="00DE2A43">
        <w:rPr>
          <w:rFonts w:ascii="Book Antiqua" w:hAnsi="Book Antiqua"/>
          <w:color w:val="000000" w:themeColor="text1"/>
          <w:lang w:val="en-US"/>
        </w:rPr>
        <w:t>CD3</w:t>
      </w:r>
      <w:r w:rsidRPr="00DE2A43">
        <w:rPr>
          <w:rFonts w:ascii="Book Antiqua" w:hAnsi="Book Antiqua"/>
          <w:color w:val="000000" w:themeColor="text1"/>
          <w:vertAlign w:val="superscript"/>
          <w:lang w:val="en-US"/>
        </w:rPr>
        <w:t>+</w:t>
      </w:r>
      <w:r w:rsidRPr="00DE2A43">
        <w:rPr>
          <w:rFonts w:ascii="Book Antiqua" w:hAnsi="Book Antiqua"/>
          <w:color w:val="000000" w:themeColor="text1"/>
          <w:lang w:val="en-US"/>
        </w:rPr>
        <w:t>, CD4</w:t>
      </w:r>
      <w:r w:rsidRPr="00DE2A43">
        <w:rPr>
          <w:rFonts w:ascii="Book Antiqua" w:hAnsi="Book Antiqua"/>
          <w:color w:val="000000" w:themeColor="text1"/>
          <w:vertAlign w:val="superscript"/>
          <w:lang w:val="en-US"/>
        </w:rPr>
        <w:t>+</w:t>
      </w:r>
      <w:r w:rsidRPr="00DE2A43">
        <w:rPr>
          <w:rFonts w:ascii="Book Antiqua" w:hAnsi="Book Antiqua"/>
          <w:color w:val="000000" w:themeColor="text1"/>
          <w:lang w:val="en-US"/>
        </w:rPr>
        <w:t>, CD8</w:t>
      </w:r>
      <w:r w:rsidRPr="00DE2A43">
        <w:rPr>
          <w:rFonts w:ascii="Book Antiqua" w:hAnsi="Book Antiqua"/>
          <w:color w:val="000000" w:themeColor="text1"/>
          <w:vertAlign w:val="superscript"/>
          <w:lang w:val="en-US"/>
        </w:rPr>
        <w:t>+</w:t>
      </w:r>
      <w:r w:rsidRPr="009B5BEB">
        <w:rPr>
          <w:rFonts w:ascii="Book Antiqua" w:hAnsi="Book Antiqua"/>
          <w:color w:val="000000" w:themeColor="text1"/>
          <w:lang w:val="en-US"/>
        </w:rPr>
        <w:t xml:space="preserve"> T</w:t>
      </w:r>
      <w:r>
        <w:rPr>
          <w:rFonts w:ascii="Book Antiqua" w:hAnsi="Book Antiqua"/>
          <w:color w:val="000000" w:themeColor="text1"/>
          <w:lang w:val="en-US"/>
        </w:rPr>
        <w:t xml:space="preserve"> cells</w:t>
      </w:r>
      <w:r w:rsidRPr="00DE2A43">
        <w:rPr>
          <w:rFonts w:ascii="Book Antiqua" w:hAnsi="Book Antiqua"/>
          <w:color w:val="000000" w:themeColor="text1"/>
          <w:lang w:val="en-US"/>
        </w:rPr>
        <w:t>, CD19</w:t>
      </w:r>
      <w:r w:rsidRPr="00DE2A43">
        <w:rPr>
          <w:rFonts w:ascii="Book Antiqua" w:hAnsi="Book Antiqua"/>
          <w:color w:val="000000" w:themeColor="text1"/>
          <w:vertAlign w:val="superscript"/>
          <w:lang w:val="en-US"/>
        </w:rPr>
        <w:t>+</w:t>
      </w:r>
      <w:r>
        <w:rPr>
          <w:rFonts w:ascii="Book Antiqua" w:hAnsi="Book Antiqua"/>
          <w:color w:val="000000" w:themeColor="text1"/>
          <w:lang w:val="en-US"/>
        </w:rPr>
        <w:t xml:space="preserve"> B cells</w:t>
      </w:r>
      <w:r w:rsidRPr="00DE2A43">
        <w:rPr>
          <w:rFonts w:ascii="Book Antiqua" w:hAnsi="Book Antiqua"/>
          <w:color w:val="000000" w:themeColor="text1"/>
          <w:lang w:val="en-US"/>
        </w:rPr>
        <w:t>, CD16</w:t>
      </w:r>
      <w:r w:rsidRPr="00DE2A43">
        <w:rPr>
          <w:rFonts w:ascii="Book Antiqua" w:hAnsi="Book Antiqua"/>
          <w:color w:val="000000" w:themeColor="text1"/>
          <w:vertAlign w:val="superscript"/>
          <w:lang w:val="en-US"/>
        </w:rPr>
        <w:t>+</w:t>
      </w:r>
      <w:r w:rsidRPr="00DE2A43">
        <w:rPr>
          <w:rFonts w:ascii="Book Antiqua" w:hAnsi="Book Antiqua"/>
          <w:color w:val="000000" w:themeColor="text1"/>
          <w:lang w:val="en-US"/>
        </w:rPr>
        <w:t>CD56</w:t>
      </w:r>
      <w:r w:rsidRPr="00DE2A43">
        <w:rPr>
          <w:rFonts w:ascii="Book Antiqua" w:hAnsi="Book Antiqua"/>
          <w:color w:val="000000" w:themeColor="text1"/>
          <w:vertAlign w:val="superscript"/>
          <w:lang w:val="en-US"/>
        </w:rPr>
        <w:t>+</w:t>
      </w:r>
      <w:r>
        <w:rPr>
          <w:rFonts w:ascii="Book Antiqua" w:hAnsi="Book Antiqua"/>
          <w:color w:val="000000" w:themeColor="text1"/>
          <w:vertAlign w:val="superscript"/>
          <w:lang w:val="en-US"/>
        </w:rPr>
        <w:t xml:space="preserve"> </w:t>
      </w:r>
      <w:r>
        <w:rPr>
          <w:rFonts w:ascii="Book Antiqua" w:hAnsi="Book Antiqua"/>
          <w:color w:val="000000" w:themeColor="text1"/>
          <w:lang w:val="en-US"/>
        </w:rPr>
        <w:t>NK</w:t>
      </w:r>
      <w:r w:rsidRPr="00DE2A43">
        <w:rPr>
          <w:rFonts w:ascii="Book Antiqua" w:hAnsi="Book Antiqua"/>
          <w:color w:val="000000" w:themeColor="text1"/>
          <w:lang w:val="en-US"/>
        </w:rPr>
        <w:t xml:space="preserve"> cells,</w:t>
      </w:r>
      <w:r>
        <w:rPr>
          <w:rFonts w:ascii="Book Antiqua" w:hAnsi="Book Antiqua"/>
          <w:color w:val="000000" w:themeColor="text1"/>
          <w:lang w:val="en-US"/>
        </w:rPr>
        <w:t xml:space="preserve"> </w:t>
      </w:r>
      <w:r w:rsidRPr="00DE2A43">
        <w:rPr>
          <w:rFonts w:ascii="Book Antiqua" w:hAnsi="Book Antiqua"/>
          <w:color w:val="000000" w:themeColor="text1"/>
          <w:lang w:val="en-US"/>
        </w:rPr>
        <w:t>percentage of CD3</w:t>
      </w:r>
      <w:r w:rsidRPr="00DE2A43">
        <w:rPr>
          <w:rFonts w:ascii="Book Antiqua" w:hAnsi="Book Antiqua"/>
          <w:color w:val="000000" w:themeColor="text1"/>
          <w:vertAlign w:val="superscript"/>
          <w:lang w:val="en-US"/>
        </w:rPr>
        <w:t>+</w:t>
      </w:r>
      <w:r w:rsidRPr="00DE2A43">
        <w:rPr>
          <w:rFonts w:ascii="Book Antiqua" w:hAnsi="Book Antiqua"/>
          <w:color w:val="000000" w:themeColor="text1"/>
          <w:lang w:val="en-US"/>
        </w:rPr>
        <w:t>, CD4</w:t>
      </w:r>
      <w:r w:rsidRPr="00DE2A43">
        <w:rPr>
          <w:rFonts w:ascii="Book Antiqua" w:hAnsi="Book Antiqua"/>
          <w:color w:val="000000" w:themeColor="text1"/>
          <w:vertAlign w:val="superscript"/>
          <w:lang w:val="en-US"/>
        </w:rPr>
        <w:t>+</w:t>
      </w:r>
      <w:r w:rsidRPr="00DE2A43">
        <w:rPr>
          <w:rFonts w:ascii="Book Antiqua" w:hAnsi="Book Antiqua"/>
          <w:color w:val="000000" w:themeColor="text1"/>
          <w:lang w:val="en-US"/>
        </w:rPr>
        <w:t>, CD8</w:t>
      </w:r>
      <w:r w:rsidRPr="00DE2A43">
        <w:rPr>
          <w:rFonts w:ascii="Book Antiqua" w:hAnsi="Book Antiqua"/>
          <w:color w:val="000000" w:themeColor="text1"/>
          <w:vertAlign w:val="superscript"/>
          <w:lang w:val="en-US"/>
        </w:rPr>
        <w:t>+</w:t>
      </w:r>
      <w:r>
        <w:rPr>
          <w:rFonts w:ascii="Book Antiqua" w:hAnsi="Book Antiqua"/>
          <w:color w:val="000000" w:themeColor="text1"/>
          <w:lang w:val="en-US"/>
        </w:rPr>
        <w:t xml:space="preserve"> cells with </w:t>
      </w:r>
      <w:r w:rsidRPr="00DE2A43">
        <w:rPr>
          <w:rFonts w:ascii="Book Antiqua" w:hAnsi="Book Antiqua"/>
          <w:color w:val="000000" w:themeColor="text1"/>
          <w:lang w:val="en-US"/>
        </w:rPr>
        <w:t>expression level of cytoplasmic cytokines IL-4 and IFN-</w:t>
      </w:r>
      <w:r w:rsidRPr="00515F02">
        <w:rPr>
          <w:rFonts w:ascii="Book Antiqua" w:hAnsi="Book Antiqua"/>
          <w:color w:val="000000" w:themeColor="text1"/>
        </w:rPr>
        <w:sym w:font="Symbol" w:char="F067"/>
      </w:r>
      <w:r w:rsidRPr="007B267B">
        <w:rPr>
          <w:rFonts w:ascii="Book Antiqua" w:hAnsi="Book Antiqua"/>
          <w:color w:val="000000" w:themeColor="text1"/>
          <w:lang w:val="en-US"/>
        </w:rPr>
        <w:t>,</w:t>
      </w:r>
      <w:r w:rsidRPr="00DE2A43">
        <w:rPr>
          <w:rFonts w:ascii="Book Antiqua" w:hAnsi="Book Antiqua"/>
          <w:color w:val="000000" w:themeColor="text1"/>
          <w:lang w:val="en-US"/>
        </w:rPr>
        <w:t xml:space="preserve"> percentage of CD4</w:t>
      </w:r>
      <w:r w:rsidRPr="00DE2A43">
        <w:rPr>
          <w:rFonts w:ascii="Book Antiqua" w:hAnsi="Book Antiqua"/>
          <w:color w:val="000000" w:themeColor="text1"/>
          <w:vertAlign w:val="superscript"/>
          <w:lang w:val="en-US"/>
        </w:rPr>
        <w:t>+</w:t>
      </w:r>
      <w:r w:rsidRPr="00DE2A43">
        <w:rPr>
          <w:rFonts w:ascii="Book Antiqua" w:hAnsi="Book Antiqua"/>
          <w:color w:val="000000" w:themeColor="text1"/>
          <w:lang w:val="en-US"/>
        </w:rPr>
        <w:t xml:space="preserve"> T cells with co-expression of CD25 receptor, percentage of regulatory T cells (cells CD4</w:t>
      </w:r>
      <w:r w:rsidRPr="00DE2A43">
        <w:rPr>
          <w:rFonts w:ascii="Book Antiqua" w:hAnsi="Book Antiqua"/>
          <w:color w:val="000000" w:themeColor="text1"/>
          <w:vertAlign w:val="superscript"/>
          <w:lang w:val="en-US"/>
        </w:rPr>
        <w:t>+</w:t>
      </w:r>
      <w:r w:rsidRPr="00DE2A43">
        <w:rPr>
          <w:rFonts w:ascii="Book Antiqua" w:hAnsi="Book Antiqua"/>
          <w:color w:val="000000" w:themeColor="text1"/>
          <w:lang w:val="en-US"/>
        </w:rPr>
        <w:t xml:space="preserve"> with high expression of CD25 and low expression of CD127)</w:t>
      </w:r>
      <w:r>
        <w:rPr>
          <w:rFonts w:ascii="Book Antiqua" w:hAnsi="Book Antiqua"/>
          <w:color w:val="000000" w:themeColor="text1"/>
          <w:lang w:val="en-US"/>
        </w:rPr>
        <w:t>.</w:t>
      </w:r>
      <w:r w:rsidRPr="009B5BEB">
        <w:rPr>
          <w:rFonts w:ascii="Book Antiqua" w:hAnsi="Book Antiqua" w:cs="AdvOT07517017"/>
          <w:color w:val="FF0000"/>
          <w:lang w:val="en-US"/>
        </w:rPr>
        <w:t xml:space="preserve"> </w:t>
      </w:r>
    </w:p>
    <w:p w:rsidR="00C4229B" w:rsidRPr="00DE2A43" w:rsidRDefault="00C4229B" w:rsidP="00C4229B">
      <w:pPr>
        <w:spacing w:line="360" w:lineRule="auto"/>
        <w:jc w:val="both"/>
        <w:rPr>
          <w:rFonts w:ascii="Book Antiqua" w:hAnsi="Book Antiqua"/>
          <w:lang w:val="en-US"/>
        </w:rPr>
      </w:pPr>
      <w:r w:rsidRPr="00DE2A43">
        <w:rPr>
          <w:rFonts w:ascii="Book Antiqua" w:hAnsi="Book Antiqua"/>
          <w:lang w:val="en-US"/>
        </w:rPr>
        <w:t>Achieved research results entitle</w:t>
      </w:r>
      <w:r>
        <w:rPr>
          <w:rFonts w:ascii="Book Antiqua" w:hAnsi="Book Antiqua"/>
          <w:lang w:val="en-US"/>
        </w:rPr>
        <w:t xml:space="preserve"> us</w:t>
      </w:r>
      <w:r w:rsidRPr="00DE2A43">
        <w:rPr>
          <w:rFonts w:ascii="Book Antiqua" w:hAnsi="Book Antiqua"/>
          <w:lang w:val="en-US"/>
        </w:rPr>
        <w:t xml:space="preserve"> to draw</w:t>
      </w:r>
      <w:r>
        <w:rPr>
          <w:rFonts w:ascii="Book Antiqua" w:hAnsi="Book Antiqua"/>
          <w:lang w:val="en-US"/>
        </w:rPr>
        <w:t xml:space="preserve"> the</w:t>
      </w:r>
      <w:r w:rsidRPr="00DE2A43">
        <w:rPr>
          <w:rFonts w:ascii="Book Antiqua" w:hAnsi="Book Antiqua"/>
          <w:lang w:val="en-US"/>
        </w:rPr>
        <w:t xml:space="preserve"> following conclusions:</w:t>
      </w:r>
    </w:p>
    <w:p w:rsidR="00C4229B" w:rsidRPr="009D1ED2" w:rsidRDefault="00C4229B" w:rsidP="00C4229B">
      <w:pPr>
        <w:pStyle w:val="Akapitzlist"/>
        <w:numPr>
          <w:ilvl w:val="0"/>
          <w:numId w:val="1"/>
        </w:numPr>
        <w:tabs>
          <w:tab w:val="left" w:pos="709"/>
        </w:tabs>
        <w:autoSpaceDE w:val="0"/>
        <w:autoSpaceDN w:val="0"/>
        <w:adjustRightInd w:val="0"/>
        <w:spacing w:line="360" w:lineRule="auto"/>
        <w:jc w:val="both"/>
        <w:rPr>
          <w:rFonts w:ascii="Book Antiqua" w:hAnsi="Book Antiqua" w:cs="AdvOT07517017"/>
          <w:bCs/>
          <w:snapToGrid w:val="0"/>
          <w:color w:val="FF0000"/>
          <w:sz w:val="24"/>
          <w:szCs w:val="24"/>
          <w:lang w:val="en-US"/>
        </w:rPr>
      </w:pPr>
      <w:r w:rsidRPr="009D1ED2">
        <w:rPr>
          <w:rFonts w:ascii="Book Antiqua" w:hAnsi="Book Antiqua"/>
          <w:sz w:val="24"/>
          <w:szCs w:val="24"/>
          <w:lang w:val="en-US"/>
        </w:rPr>
        <w:t>The success of allergen immunotherapy with an extract of grass pollen mixture seems to be decided not so much by the values evaluated in the period of intensive allergen exposure but the values’ stability manifested by no significant differences between summer and winter assessment.</w:t>
      </w:r>
    </w:p>
    <w:p w:rsidR="00C4229B" w:rsidRPr="009D1ED2" w:rsidRDefault="00C4229B" w:rsidP="00C4229B">
      <w:pPr>
        <w:pStyle w:val="Akapitzlist"/>
        <w:numPr>
          <w:ilvl w:val="0"/>
          <w:numId w:val="2"/>
        </w:numPr>
        <w:tabs>
          <w:tab w:val="left" w:pos="709"/>
        </w:tabs>
        <w:autoSpaceDE w:val="0"/>
        <w:autoSpaceDN w:val="0"/>
        <w:adjustRightInd w:val="0"/>
        <w:spacing w:line="360" w:lineRule="auto"/>
        <w:jc w:val="both"/>
        <w:rPr>
          <w:rFonts w:ascii="Book Antiqua" w:hAnsi="Book Antiqua"/>
          <w:sz w:val="24"/>
          <w:szCs w:val="24"/>
          <w:lang w:val="en-US"/>
        </w:rPr>
      </w:pPr>
      <w:r w:rsidRPr="009D1ED2">
        <w:rPr>
          <w:rFonts w:ascii="Book Antiqua" w:hAnsi="Book Antiqua"/>
          <w:sz w:val="24"/>
          <w:szCs w:val="24"/>
          <w:lang w:val="en-US"/>
        </w:rPr>
        <w:t xml:space="preserve">One of the parameters determining good clinical </w:t>
      </w:r>
      <w:r w:rsidRPr="009D1ED2">
        <w:rPr>
          <w:rFonts w:ascii="Book Antiqua" w:hAnsi="Book Antiqua"/>
          <w:color w:val="000000" w:themeColor="text1"/>
          <w:sz w:val="24"/>
          <w:szCs w:val="24"/>
          <w:lang w:val="en-US"/>
        </w:rPr>
        <w:t>response of allergen immunotherapy is reduction in the percentage value of CD3</w:t>
      </w:r>
      <w:r w:rsidRPr="009D1ED2">
        <w:rPr>
          <w:rFonts w:ascii="Book Antiqua" w:hAnsi="Book Antiqua"/>
          <w:color w:val="000000" w:themeColor="text1"/>
          <w:sz w:val="24"/>
          <w:szCs w:val="24"/>
          <w:vertAlign w:val="superscript"/>
          <w:lang w:val="en-US"/>
        </w:rPr>
        <w:t>+</w:t>
      </w:r>
      <w:r w:rsidRPr="009D1ED2">
        <w:rPr>
          <w:rFonts w:ascii="Book Antiqua" w:hAnsi="Book Antiqua"/>
          <w:color w:val="000000" w:themeColor="text1"/>
          <w:sz w:val="24"/>
          <w:szCs w:val="24"/>
          <w:lang w:val="en-US"/>
        </w:rPr>
        <w:t xml:space="preserve"> lymphocytes that was observed in the period of intensified allergen exposure compared with corresponding values assessed in the absence of allergen exposure period.</w:t>
      </w:r>
      <w:r w:rsidRPr="009D1ED2">
        <w:rPr>
          <w:rFonts w:ascii="Book Antiqua" w:hAnsi="Book Antiqua" w:cs="AdvOT07517017"/>
          <w:color w:val="FF0000"/>
          <w:sz w:val="24"/>
          <w:szCs w:val="24"/>
          <w:lang w:val="en-US"/>
        </w:rPr>
        <w:t xml:space="preserve"> </w:t>
      </w:r>
    </w:p>
    <w:p w:rsidR="00C4229B" w:rsidRPr="00BB25FE" w:rsidRDefault="00C4229B" w:rsidP="00C4229B">
      <w:pPr>
        <w:pStyle w:val="Akapitzlist"/>
        <w:numPr>
          <w:ilvl w:val="0"/>
          <w:numId w:val="1"/>
        </w:numPr>
        <w:tabs>
          <w:tab w:val="left" w:pos="709"/>
        </w:tabs>
        <w:autoSpaceDE w:val="0"/>
        <w:autoSpaceDN w:val="0"/>
        <w:adjustRightInd w:val="0"/>
        <w:spacing w:line="360" w:lineRule="auto"/>
        <w:jc w:val="both"/>
        <w:rPr>
          <w:rFonts w:ascii="Book Antiqua" w:hAnsi="Book Antiqua"/>
          <w:sz w:val="24"/>
          <w:szCs w:val="24"/>
          <w:lang w:val="en-US"/>
        </w:rPr>
      </w:pPr>
      <w:r w:rsidRPr="009D1ED2">
        <w:rPr>
          <w:rFonts w:ascii="Book Antiqua" w:hAnsi="Book Antiqua"/>
          <w:color w:val="000000" w:themeColor="text1"/>
          <w:sz w:val="24"/>
          <w:szCs w:val="24"/>
          <w:lang w:val="en-US"/>
        </w:rPr>
        <w:t>Good clinical effect seems to correspond not so much to the absolute value</w:t>
      </w:r>
      <w:r w:rsidRPr="009D1ED2">
        <w:rPr>
          <w:rFonts w:ascii="Book Antiqua" w:hAnsi="Book Antiqua"/>
          <w:color w:val="FF0000"/>
          <w:sz w:val="24"/>
          <w:szCs w:val="24"/>
          <w:lang w:val="en-US"/>
        </w:rPr>
        <w:t xml:space="preserve"> </w:t>
      </w:r>
      <w:r w:rsidRPr="009D1ED2">
        <w:rPr>
          <w:rFonts w:ascii="Book Antiqua" w:hAnsi="Book Antiqua"/>
          <w:color w:val="000000" w:themeColor="text1"/>
          <w:sz w:val="24"/>
          <w:szCs w:val="24"/>
          <w:lang w:val="en-US"/>
        </w:rPr>
        <w:t>of CD4</w:t>
      </w:r>
      <w:r w:rsidRPr="009D1ED2">
        <w:rPr>
          <w:rFonts w:ascii="Book Antiqua" w:hAnsi="Book Antiqua"/>
          <w:color w:val="000000" w:themeColor="text1"/>
          <w:sz w:val="24"/>
          <w:szCs w:val="24"/>
          <w:vertAlign w:val="superscript"/>
          <w:lang w:val="en-US"/>
        </w:rPr>
        <w:t>+</w:t>
      </w:r>
      <w:r w:rsidRPr="009D1ED2">
        <w:rPr>
          <w:rFonts w:ascii="Book Antiqua" w:hAnsi="Book Antiqua"/>
          <w:color w:val="000000" w:themeColor="text1"/>
          <w:sz w:val="24"/>
          <w:szCs w:val="24"/>
          <w:lang w:val="en-US"/>
        </w:rPr>
        <w:t xml:space="preserve"> and CD8</w:t>
      </w:r>
      <w:r w:rsidRPr="009D1ED2">
        <w:rPr>
          <w:rFonts w:ascii="Book Antiqua" w:hAnsi="Book Antiqua"/>
          <w:color w:val="000000" w:themeColor="text1"/>
          <w:sz w:val="24"/>
          <w:szCs w:val="24"/>
          <w:vertAlign w:val="superscript"/>
          <w:lang w:val="en-US"/>
        </w:rPr>
        <w:t>+</w:t>
      </w:r>
      <w:r w:rsidRPr="009D1ED2">
        <w:rPr>
          <w:rFonts w:ascii="Book Antiqua" w:hAnsi="Book Antiqua"/>
          <w:color w:val="000000" w:themeColor="text1"/>
          <w:sz w:val="24"/>
          <w:szCs w:val="24"/>
          <w:lang w:val="en-US"/>
        </w:rPr>
        <w:t xml:space="preserve"> lymphocytes with co-expression of IL-4 or IFN-</w:t>
      </w:r>
      <w:r w:rsidRPr="00515F02">
        <w:rPr>
          <w:rFonts w:ascii="Book Antiqua" w:hAnsi="Book Antiqua"/>
          <w:color w:val="000000" w:themeColor="text1"/>
          <w:sz w:val="24"/>
          <w:szCs w:val="24"/>
        </w:rPr>
        <w:sym w:font="Symbol" w:char="F067"/>
      </w:r>
      <w:r w:rsidRPr="009D1ED2">
        <w:rPr>
          <w:rFonts w:ascii="Book Antiqua" w:hAnsi="Book Antiqua"/>
          <w:color w:val="000000" w:themeColor="text1"/>
          <w:sz w:val="24"/>
          <w:szCs w:val="24"/>
          <w:lang w:val="en-US"/>
        </w:rPr>
        <w:t>, as to</w:t>
      </w:r>
      <w:r w:rsidRPr="009D1ED2">
        <w:rPr>
          <w:rFonts w:ascii="Book Antiqua" w:hAnsi="Book Antiqua"/>
          <w:color w:val="FF0000"/>
          <w:sz w:val="24"/>
          <w:szCs w:val="24"/>
          <w:lang w:val="en-US"/>
        </w:rPr>
        <w:t xml:space="preserve"> </w:t>
      </w:r>
      <w:r w:rsidRPr="009D1ED2">
        <w:rPr>
          <w:rFonts w:ascii="Book Antiqua" w:hAnsi="Book Antiqua"/>
          <w:color w:val="000000" w:themeColor="text1"/>
          <w:sz w:val="24"/>
          <w:szCs w:val="24"/>
          <w:lang w:val="en-US"/>
        </w:rPr>
        <w:t>their proportion and stability on which intensified allergen exposure had no influence.</w:t>
      </w:r>
      <w:r w:rsidRPr="009D1ED2">
        <w:rPr>
          <w:rFonts w:ascii="Book Antiqua" w:hAnsi="Book Antiqua" w:cs="AdvOT07517017"/>
          <w:color w:val="FF0000"/>
          <w:sz w:val="24"/>
          <w:szCs w:val="24"/>
          <w:lang w:val="en-US"/>
        </w:rPr>
        <w:t xml:space="preserve"> </w:t>
      </w:r>
    </w:p>
    <w:p w:rsidR="00C4229B" w:rsidRPr="00DE2A43" w:rsidRDefault="00C4229B" w:rsidP="00C4229B">
      <w:pPr>
        <w:pStyle w:val="Akapitzlist"/>
        <w:numPr>
          <w:ilvl w:val="0"/>
          <w:numId w:val="1"/>
        </w:numPr>
        <w:tabs>
          <w:tab w:val="left" w:pos="709"/>
        </w:tabs>
        <w:autoSpaceDE w:val="0"/>
        <w:autoSpaceDN w:val="0"/>
        <w:adjustRightInd w:val="0"/>
        <w:spacing w:line="360" w:lineRule="auto"/>
        <w:jc w:val="both"/>
        <w:rPr>
          <w:rFonts w:ascii="Book Antiqua" w:hAnsi="Book Antiqua"/>
          <w:sz w:val="24"/>
          <w:szCs w:val="24"/>
          <w:lang w:val="en-US"/>
        </w:rPr>
      </w:pPr>
      <w:r w:rsidRPr="00DE2A43">
        <w:rPr>
          <w:rFonts w:ascii="Book Antiqua" w:hAnsi="Book Antiqua"/>
          <w:color w:val="000000" w:themeColor="text1"/>
          <w:sz w:val="24"/>
          <w:szCs w:val="24"/>
          <w:lang w:val="en-US"/>
        </w:rPr>
        <w:t>Good clinical effect seems to correspond to numerical stability of regulatory T cells demonst</w:t>
      </w:r>
      <w:r>
        <w:rPr>
          <w:rFonts w:ascii="Book Antiqua" w:hAnsi="Book Antiqua"/>
          <w:color w:val="000000" w:themeColor="text1"/>
          <w:sz w:val="24"/>
          <w:szCs w:val="24"/>
          <w:lang w:val="en-US"/>
        </w:rPr>
        <w:t>rat</w:t>
      </w:r>
      <w:r w:rsidRPr="00DE2A43">
        <w:rPr>
          <w:rFonts w:ascii="Book Antiqua" w:hAnsi="Book Antiqua"/>
          <w:color w:val="000000" w:themeColor="text1"/>
          <w:sz w:val="24"/>
          <w:szCs w:val="24"/>
          <w:lang w:val="en-US"/>
        </w:rPr>
        <w:t>ed by no changes in the period of intensified allergen exposure compared with analogous values assessed during winter period.</w:t>
      </w:r>
    </w:p>
    <w:p w:rsidR="00C4229B" w:rsidRPr="00DE2A43" w:rsidRDefault="00C4229B" w:rsidP="00C4229B">
      <w:pPr>
        <w:pStyle w:val="Akapitzlist"/>
        <w:numPr>
          <w:ilvl w:val="0"/>
          <w:numId w:val="2"/>
        </w:numPr>
        <w:spacing w:line="360" w:lineRule="auto"/>
        <w:jc w:val="both"/>
        <w:rPr>
          <w:rFonts w:ascii="Book Antiqua" w:hAnsi="Book Antiqua"/>
          <w:sz w:val="24"/>
          <w:szCs w:val="24"/>
          <w:lang w:val="en-US"/>
        </w:rPr>
      </w:pPr>
      <w:r>
        <w:rPr>
          <w:rFonts w:ascii="Book Antiqua" w:hAnsi="Book Antiqua"/>
          <w:color w:val="000000" w:themeColor="text1"/>
          <w:sz w:val="24"/>
          <w:szCs w:val="24"/>
          <w:lang w:val="en-US"/>
        </w:rPr>
        <w:lastRenderedPageBreak/>
        <w:t>Bad</w:t>
      </w:r>
      <w:r w:rsidRPr="00DE2A43">
        <w:rPr>
          <w:rFonts w:ascii="Book Antiqua" w:hAnsi="Book Antiqua"/>
          <w:color w:val="000000" w:themeColor="text1"/>
          <w:sz w:val="24"/>
          <w:szCs w:val="24"/>
          <w:lang w:val="en-US"/>
        </w:rPr>
        <w:t xml:space="preserve"> clinical effect or lack of response to therapy </w:t>
      </w:r>
      <w:r w:rsidRPr="009974C5">
        <w:rPr>
          <w:rFonts w:ascii="Book Antiqua" w:hAnsi="Book Antiqua"/>
          <w:color w:val="000000" w:themeColor="text1"/>
          <w:sz w:val="24"/>
          <w:szCs w:val="24"/>
          <w:lang w:val="en-US"/>
        </w:rPr>
        <w:t>may be associated with primary irresponsiveness of lym</w:t>
      </w:r>
      <w:r w:rsidRPr="00DE2A43">
        <w:rPr>
          <w:rFonts w:ascii="Book Antiqua" w:hAnsi="Book Antiqua"/>
          <w:color w:val="000000" w:themeColor="text1"/>
          <w:sz w:val="24"/>
          <w:szCs w:val="24"/>
          <w:lang w:val="en-US"/>
        </w:rPr>
        <w:t>phocytes with suppressor-cytotoxic activity in majority</w:t>
      </w:r>
      <w:r>
        <w:rPr>
          <w:rFonts w:ascii="Book Antiqua" w:hAnsi="Book Antiqua"/>
          <w:color w:val="000000" w:themeColor="text1"/>
          <w:sz w:val="24"/>
          <w:szCs w:val="24"/>
          <w:lang w:val="en-US"/>
        </w:rPr>
        <w:t>,</w:t>
      </w:r>
      <w:r w:rsidRPr="00DE2A43">
        <w:rPr>
          <w:rFonts w:ascii="Book Antiqua" w:hAnsi="Book Antiqua"/>
          <w:color w:val="000000" w:themeColor="text1"/>
          <w:sz w:val="24"/>
          <w:szCs w:val="24"/>
          <w:lang w:val="en-US"/>
        </w:rPr>
        <w:t xml:space="preserve"> which is manifested by decrease of percentage value of both NK and CD8</w:t>
      </w:r>
      <w:r w:rsidRPr="00DE2A43">
        <w:rPr>
          <w:rFonts w:ascii="Book Antiqua" w:hAnsi="Book Antiqua"/>
          <w:color w:val="000000" w:themeColor="text1"/>
          <w:sz w:val="24"/>
          <w:szCs w:val="24"/>
          <w:vertAlign w:val="superscript"/>
          <w:lang w:val="en-US"/>
        </w:rPr>
        <w:t>+</w:t>
      </w:r>
      <w:r w:rsidRPr="00DE2A43">
        <w:rPr>
          <w:rFonts w:ascii="Book Antiqua" w:hAnsi="Book Antiqua"/>
          <w:color w:val="000000" w:themeColor="text1"/>
          <w:sz w:val="24"/>
          <w:szCs w:val="24"/>
          <w:lang w:val="en-US"/>
        </w:rPr>
        <w:t xml:space="preserve"> </w:t>
      </w:r>
      <w:r>
        <w:rPr>
          <w:rFonts w:ascii="Book Antiqua" w:hAnsi="Book Antiqua"/>
          <w:color w:val="000000" w:themeColor="text1"/>
          <w:sz w:val="24"/>
          <w:szCs w:val="24"/>
          <w:lang w:val="en-US"/>
        </w:rPr>
        <w:t>cell</w:t>
      </w:r>
      <w:r w:rsidRPr="00DE2A43">
        <w:rPr>
          <w:rFonts w:ascii="Book Antiqua" w:hAnsi="Book Antiqua"/>
          <w:color w:val="000000" w:themeColor="text1"/>
          <w:sz w:val="24"/>
          <w:szCs w:val="24"/>
          <w:lang w:val="en-US"/>
        </w:rPr>
        <w:t xml:space="preserve">s in the period of intense allergen exposure. </w:t>
      </w:r>
    </w:p>
    <w:p w:rsidR="00C4229B" w:rsidRPr="00C2637D" w:rsidRDefault="00C4229B" w:rsidP="00C4229B">
      <w:pPr>
        <w:pStyle w:val="Akapitzlist"/>
        <w:numPr>
          <w:ilvl w:val="0"/>
          <w:numId w:val="2"/>
        </w:numPr>
        <w:spacing w:line="360" w:lineRule="auto"/>
        <w:jc w:val="both"/>
        <w:rPr>
          <w:rFonts w:ascii="Book Antiqua" w:hAnsi="Book Antiqua"/>
          <w:sz w:val="24"/>
          <w:szCs w:val="24"/>
          <w:lang w:val="en-US"/>
        </w:rPr>
      </w:pPr>
      <w:r w:rsidRPr="00DE2A43">
        <w:rPr>
          <w:rFonts w:ascii="Book Antiqua" w:hAnsi="Book Antiqua"/>
          <w:color w:val="000000" w:themeColor="text1"/>
          <w:sz w:val="24"/>
          <w:szCs w:val="24"/>
          <w:lang w:val="en-US"/>
        </w:rPr>
        <w:t>Allergen immunotherapy does not include changes in the scope of CD19</w:t>
      </w:r>
      <w:r w:rsidRPr="00DE2A43">
        <w:rPr>
          <w:rFonts w:ascii="Book Antiqua" w:hAnsi="Book Antiqua"/>
          <w:color w:val="000000" w:themeColor="text1"/>
          <w:sz w:val="24"/>
          <w:szCs w:val="24"/>
          <w:vertAlign w:val="superscript"/>
          <w:lang w:val="en-US"/>
        </w:rPr>
        <w:t>+</w:t>
      </w:r>
      <w:r w:rsidRPr="00DE2A43">
        <w:rPr>
          <w:rFonts w:ascii="Book Antiqua" w:hAnsi="Book Antiqua"/>
          <w:color w:val="000000" w:themeColor="text1"/>
          <w:sz w:val="24"/>
          <w:szCs w:val="24"/>
          <w:lang w:val="en-US"/>
        </w:rPr>
        <w:t xml:space="preserve"> cells number assessed directly after the completion of therapy</w:t>
      </w:r>
      <w:r>
        <w:rPr>
          <w:rFonts w:ascii="Book Antiqua" w:hAnsi="Book Antiqua"/>
          <w:color w:val="000000" w:themeColor="text1"/>
          <w:sz w:val="24"/>
          <w:szCs w:val="24"/>
          <w:lang w:val="en-US"/>
        </w:rPr>
        <w:t xml:space="preserve">. </w:t>
      </w:r>
      <w:r w:rsidRPr="00DE2A43">
        <w:rPr>
          <w:rFonts w:ascii="Book Antiqua" w:hAnsi="Book Antiqua"/>
          <w:color w:val="000000" w:themeColor="text1"/>
          <w:sz w:val="24"/>
          <w:szCs w:val="24"/>
          <w:lang w:val="en-US"/>
        </w:rPr>
        <w:t>Therefore</w:t>
      </w:r>
      <w:r>
        <w:rPr>
          <w:rFonts w:ascii="Book Antiqua" w:hAnsi="Book Antiqua"/>
          <w:color w:val="000000" w:themeColor="text1"/>
          <w:sz w:val="24"/>
          <w:szCs w:val="24"/>
          <w:lang w:val="en-US"/>
        </w:rPr>
        <w:t>,</w:t>
      </w:r>
      <w:r w:rsidRPr="00DE2A43">
        <w:rPr>
          <w:rFonts w:ascii="Book Antiqua" w:hAnsi="Book Antiqua"/>
          <w:color w:val="000000" w:themeColor="text1"/>
          <w:sz w:val="24"/>
          <w:szCs w:val="24"/>
          <w:lang w:val="en-US"/>
        </w:rPr>
        <w:t xml:space="preserve"> B lymphocytes </w:t>
      </w:r>
      <w:r>
        <w:rPr>
          <w:rFonts w:ascii="Book Antiqua" w:hAnsi="Book Antiqua"/>
          <w:color w:val="000000" w:themeColor="text1"/>
          <w:sz w:val="24"/>
          <w:szCs w:val="24"/>
          <w:lang w:val="en-US"/>
        </w:rPr>
        <w:t xml:space="preserve">do not </w:t>
      </w:r>
      <w:r w:rsidRPr="00DE2A43">
        <w:rPr>
          <w:rFonts w:ascii="Book Antiqua" w:hAnsi="Book Antiqua"/>
          <w:color w:val="000000" w:themeColor="text1"/>
          <w:sz w:val="24"/>
          <w:szCs w:val="24"/>
          <w:lang w:val="en-US"/>
        </w:rPr>
        <w:t>seem to play a significant role in creation of tolerance to antigen that would affect the success of allergen immunotherapy.</w:t>
      </w:r>
    </w:p>
    <w:p w:rsidR="007309AE" w:rsidRPr="00C4229B" w:rsidRDefault="007309AE">
      <w:pPr>
        <w:rPr>
          <w:lang w:val="en-US"/>
        </w:rPr>
      </w:pPr>
      <w:bookmarkStart w:id="0" w:name="_GoBack"/>
      <w:bookmarkEnd w:id="0"/>
    </w:p>
    <w:sectPr w:rsidR="007309AE" w:rsidRPr="00C42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dvOT07517017">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CCE"/>
    <w:multiLevelType w:val="hybridMultilevel"/>
    <w:tmpl w:val="83F82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7775146"/>
    <w:multiLevelType w:val="hybridMultilevel"/>
    <w:tmpl w:val="083EA782"/>
    <w:lvl w:ilvl="0" w:tplc="53E4AC2E">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9B"/>
    <w:rsid w:val="007309AE"/>
    <w:rsid w:val="00C42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635C1-E0B1-417F-B3FE-E3C1ED57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229B"/>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4229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4366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2018-06-14T13:34:00Z</dcterms:created>
  <dcterms:modified xsi:type="dcterms:W3CDTF">2018-06-14T13:34:00Z</dcterms:modified>
</cp:coreProperties>
</file>