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FE" w:rsidRPr="009F0CC1" w:rsidRDefault="000952FE" w:rsidP="000952FE">
      <w:pPr>
        <w:pStyle w:val="Nagwek1"/>
        <w:ind w:right="-285"/>
      </w:pPr>
      <w:bookmarkStart w:id="0" w:name="_Toc510983228"/>
      <w:r w:rsidRPr="009D43AA">
        <w:t>Streszczenie</w:t>
      </w:r>
      <w:bookmarkEnd w:id="0"/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t xml:space="preserve">Materiały do ostatecznego wypełnienia kanałów korzeniowych powinny trwale zamykać przestrzeń po </w:t>
      </w:r>
      <w:proofErr w:type="spellStart"/>
      <w:r w:rsidRPr="00EA2AB2">
        <w:rPr>
          <w:rFonts w:eastAsia="Calibri" w:cs="Times New Roman"/>
        </w:rPr>
        <w:t>chemo</w:t>
      </w:r>
      <w:proofErr w:type="spellEnd"/>
      <w:r w:rsidRPr="00EA2AB2">
        <w:rPr>
          <w:rFonts w:eastAsia="Calibri" w:cs="Times New Roman"/>
        </w:rPr>
        <w:t xml:space="preserve">-mechanicznym opracowaniu jamy zęba. Obok szczelności wypełnienia, także biokompatybilność ma decydujące znaczenie w powodzeniu leczenia </w:t>
      </w:r>
      <w:proofErr w:type="spellStart"/>
      <w:r w:rsidRPr="00EA2AB2">
        <w:rPr>
          <w:rFonts w:eastAsia="Calibri" w:cs="Times New Roman"/>
        </w:rPr>
        <w:t>endodontycznego</w:t>
      </w:r>
      <w:proofErr w:type="spellEnd"/>
      <w:r w:rsidRPr="00EA2AB2">
        <w:rPr>
          <w:rFonts w:eastAsia="Calibri" w:cs="Times New Roman"/>
        </w:rPr>
        <w:t xml:space="preserve">. Preparaty obturacyjne pozostają przez długi czas w kontakcie z tkankami okołowierzchołkowymi, a ich działanie toksyczne może uszkadzać tkanki lub utrudniać gojenie zmienionych zapalnie struktur </w:t>
      </w:r>
      <w:proofErr w:type="spellStart"/>
      <w:r w:rsidRPr="00EA2AB2">
        <w:rPr>
          <w:rFonts w:eastAsia="Calibri" w:cs="Times New Roman"/>
        </w:rPr>
        <w:t>przyszczytowych</w:t>
      </w:r>
      <w:proofErr w:type="spellEnd"/>
      <w:r w:rsidRPr="00EA2AB2">
        <w:rPr>
          <w:rFonts w:eastAsia="Calibri" w:cs="Times New Roman"/>
        </w:rPr>
        <w:t>. W ostatnim czasie na rynku stomatologicznym pojawiło się wiele nowych materiałów, a w fachowym piśmiennictwie istnieją sprzeczne doniesienia na temat ich biokompatybilności.</w:t>
      </w:r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t>Celami pracy były:</w:t>
      </w:r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t>1)</w:t>
      </w:r>
      <w:r w:rsidRPr="00EA2AB2">
        <w:rPr>
          <w:rFonts w:eastAsia="Calibri" w:cs="Times New Roman"/>
        </w:rPr>
        <w:tab/>
        <w:t xml:space="preserve">porównawcza ocena cytotoksycznego działania współcześnie używanych materiałów obturacyjnych bezpośrednio po zarobieniu i po związaniu </w:t>
      </w:r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t>2)</w:t>
      </w:r>
      <w:r w:rsidRPr="00EA2AB2">
        <w:rPr>
          <w:rFonts w:eastAsia="Calibri" w:cs="Times New Roman"/>
        </w:rPr>
        <w:tab/>
        <w:t xml:space="preserve">próba wyjaśnienia udziału stresu oksydacyjnego w zjawisku cytotoksyczności materiałów </w:t>
      </w:r>
      <w:proofErr w:type="spellStart"/>
      <w:r w:rsidRPr="00EA2AB2">
        <w:rPr>
          <w:rFonts w:eastAsia="Calibri" w:cs="Times New Roman"/>
        </w:rPr>
        <w:t>endodontycznych</w:t>
      </w:r>
      <w:proofErr w:type="spellEnd"/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t>3)</w:t>
      </w:r>
      <w:r w:rsidRPr="00EA2AB2">
        <w:rPr>
          <w:rFonts w:eastAsia="Calibri" w:cs="Times New Roman"/>
        </w:rPr>
        <w:tab/>
        <w:t>ustalenie, czy do śmierci komórek po ekspozycji na badane materiały, dochodzi na drodze apoptozy czy nekrozy</w:t>
      </w:r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t xml:space="preserve">W pracy wykorzystano ludzkie fibroblasty ozębnej (Human </w:t>
      </w:r>
      <w:proofErr w:type="spellStart"/>
      <w:r w:rsidRPr="00EA2AB2">
        <w:rPr>
          <w:rFonts w:eastAsia="Calibri" w:cs="Times New Roman"/>
        </w:rPr>
        <w:t>Ligament</w:t>
      </w:r>
      <w:proofErr w:type="spellEnd"/>
      <w:r w:rsidRPr="00EA2AB2">
        <w:rPr>
          <w:rFonts w:eastAsia="Calibri" w:cs="Times New Roman"/>
        </w:rPr>
        <w:t xml:space="preserve"> </w:t>
      </w:r>
      <w:proofErr w:type="spellStart"/>
      <w:r w:rsidRPr="00EA2AB2">
        <w:rPr>
          <w:rFonts w:eastAsia="Calibri" w:cs="Times New Roman"/>
        </w:rPr>
        <w:t>Fibroblasts</w:t>
      </w:r>
      <w:proofErr w:type="spellEnd"/>
      <w:r w:rsidRPr="00EA2AB2">
        <w:rPr>
          <w:rFonts w:eastAsia="Calibri" w:cs="Times New Roman"/>
        </w:rPr>
        <w:t xml:space="preserve"> Cell System </w:t>
      </w:r>
      <w:proofErr w:type="spellStart"/>
      <w:r w:rsidRPr="00EA2AB2">
        <w:rPr>
          <w:rFonts w:eastAsia="Calibri" w:cs="Times New Roman"/>
        </w:rPr>
        <w:t>HPdLF</w:t>
      </w:r>
      <w:proofErr w:type="spellEnd"/>
      <w:r w:rsidRPr="00EA2AB2">
        <w:rPr>
          <w:rFonts w:eastAsia="Calibri" w:cs="Times New Roman"/>
        </w:rPr>
        <w:t xml:space="preserve"> </w:t>
      </w:r>
      <w:proofErr w:type="spellStart"/>
      <w:r w:rsidRPr="00EA2AB2">
        <w:rPr>
          <w:rFonts w:eastAsia="Calibri" w:cs="Times New Roman"/>
        </w:rPr>
        <w:t>Clonetics</w:t>
      </w:r>
      <w:proofErr w:type="spellEnd"/>
      <w:r w:rsidRPr="00EA2AB2">
        <w:rPr>
          <w:rFonts w:eastAsia="Calibri" w:cs="Times New Roman"/>
        </w:rPr>
        <w:t xml:space="preserve"> </w:t>
      </w:r>
      <w:r w:rsidRPr="00C00D2B">
        <w:rPr>
          <w:rFonts w:eastAsia="Calibri" w:cs="Times New Roman"/>
          <w:vertAlign w:val="superscript"/>
        </w:rPr>
        <w:t>TM</w:t>
      </w:r>
      <w:r w:rsidRPr="00EA2AB2">
        <w:rPr>
          <w:rFonts w:eastAsia="Calibri" w:cs="Times New Roman"/>
        </w:rPr>
        <w:t xml:space="preserve">). Komórki hodowano na podłożu </w:t>
      </w:r>
      <w:proofErr w:type="spellStart"/>
      <w:r w:rsidRPr="00EA2AB2">
        <w:rPr>
          <w:rFonts w:eastAsia="Calibri" w:cs="Times New Roman"/>
        </w:rPr>
        <w:t>Dulbecco’s</w:t>
      </w:r>
      <w:proofErr w:type="spellEnd"/>
      <w:r w:rsidRPr="00EA2AB2">
        <w:rPr>
          <w:rFonts w:eastAsia="Calibri" w:cs="Times New Roman"/>
        </w:rPr>
        <w:t xml:space="preserve"> </w:t>
      </w:r>
      <w:proofErr w:type="spellStart"/>
      <w:r w:rsidRPr="00EA2AB2">
        <w:rPr>
          <w:rFonts w:eastAsia="Calibri" w:cs="Times New Roman"/>
        </w:rPr>
        <w:t>Modified</w:t>
      </w:r>
      <w:proofErr w:type="spellEnd"/>
      <w:r w:rsidRPr="00EA2AB2">
        <w:rPr>
          <w:rFonts w:eastAsia="Calibri" w:cs="Times New Roman"/>
        </w:rPr>
        <w:t xml:space="preserve"> </w:t>
      </w:r>
      <w:proofErr w:type="spellStart"/>
      <w:r w:rsidRPr="00EA2AB2">
        <w:rPr>
          <w:rFonts w:eastAsia="Calibri" w:cs="Times New Roman"/>
        </w:rPr>
        <w:t>Eagle’s</w:t>
      </w:r>
      <w:proofErr w:type="spellEnd"/>
      <w:r w:rsidRPr="00EA2AB2">
        <w:rPr>
          <w:rFonts w:eastAsia="Calibri" w:cs="Times New Roman"/>
        </w:rPr>
        <w:t xml:space="preserve"> Medium z dodatkiem 10% płodowej surowicy bydlęcej (FBS) w temperaturze 37°C, 5% CO</w:t>
      </w:r>
      <w:r w:rsidRPr="00AC0978">
        <w:rPr>
          <w:rFonts w:eastAsia="Calibri" w:cs="Times New Roman"/>
          <w:vertAlign w:val="subscript"/>
        </w:rPr>
        <w:t>2</w:t>
      </w:r>
      <w:r w:rsidRPr="00EA2AB2">
        <w:rPr>
          <w:rFonts w:eastAsia="Calibri" w:cs="Times New Roman"/>
        </w:rPr>
        <w:t xml:space="preserve"> i 95% wilgotności. </w:t>
      </w:r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t xml:space="preserve">Doświadczenie przeprowadzono z użyciem materiałów do ostatecznego wypełnienia kanałów korzeniowych- </w:t>
      </w:r>
      <w:proofErr w:type="spellStart"/>
      <w:r w:rsidRPr="00EA2AB2">
        <w:rPr>
          <w:rFonts w:eastAsia="Calibri" w:cs="Times New Roman"/>
        </w:rPr>
        <w:t>peletek</w:t>
      </w:r>
      <w:proofErr w:type="spellEnd"/>
      <w:r w:rsidRPr="00EA2AB2">
        <w:rPr>
          <w:rFonts w:eastAsia="Calibri" w:cs="Times New Roman"/>
        </w:rPr>
        <w:t xml:space="preserve"> gutaperki (GP) i </w:t>
      </w:r>
      <w:proofErr w:type="spellStart"/>
      <w:r w:rsidRPr="00EA2AB2">
        <w:rPr>
          <w:rFonts w:eastAsia="Calibri" w:cs="Times New Roman"/>
        </w:rPr>
        <w:t>resilonu</w:t>
      </w:r>
      <w:proofErr w:type="spellEnd"/>
      <w:r w:rsidRPr="00EA2AB2">
        <w:rPr>
          <w:rFonts w:eastAsia="Calibri" w:cs="Times New Roman"/>
        </w:rPr>
        <w:t xml:space="preserve"> (RLN) oraz następujących uszczelniaczy: MTA </w:t>
      </w:r>
      <w:proofErr w:type="spellStart"/>
      <w:r w:rsidRPr="00EA2AB2">
        <w:rPr>
          <w:rFonts w:eastAsia="Calibri" w:cs="Times New Roman"/>
        </w:rPr>
        <w:t>Fillapex</w:t>
      </w:r>
      <w:proofErr w:type="spellEnd"/>
      <w:r w:rsidRPr="00EA2AB2">
        <w:rPr>
          <w:rFonts w:eastAsia="Calibri" w:cs="Times New Roman"/>
        </w:rPr>
        <w:t xml:space="preserve"> (FL), </w:t>
      </w:r>
      <w:proofErr w:type="spellStart"/>
      <w:r w:rsidRPr="00EA2AB2">
        <w:rPr>
          <w:rFonts w:eastAsia="Calibri" w:cs="Times New Roman"/>
        </w:rPr>
        <w:t>RealSeal</w:t>
      </w:r>
      <w:proofErr w:type="spellEnd"/>
      <w:r w:rsidRPr="00EA2AB2">
        <w:rPr>
          <w:rFonts w:eastAsia="Calibri" w:cs="Times New Roman"/>
        </w:rPr>
        <w:t xml:space="preserve"> SE (RSEAL), </w:t>
      </w:r>
      <w:proofErr w:type="spellStart"/>
      <w:r w:rsidRPr="00EA2AB2">
        <w:rPr>
          <w:rFonts w:eastAsia="Calibri" w:cs="Times New Roman"/>
          <w:lang w:val="de-DE"/>
        </w:rPr>
        <w:t>Meta</w:t>
      </w:r>
      <w:proofErr w:type="spellEnd"/>
      <w:r w:rsidRPr="00EA2AB2">
        <w:rPr>
          <w:rFonts w:eastAsia="Calibri" w:cs="Times New Roman"/>
          <w:lang w:val="de-DE"/>
        </w:rPr>
        <w:t xml:space="preserve"> Seal Soft (META)</w:t>
      </w:r>
      <w:r w:rsidRPr="00EA2AB2">
        <w:rPr>
          <w:rFonts w:eastAsia="Calibri" w:cs="Times New Roman"/>
        </w:rPr>
        <w:t xml:space="preserve">, AH Plus (AH), </w:t>
      </w:r>
      <w:proofErr w:type="spellStart"/>
      <w:r w:rsidRPr="00EA2AB2">
        <w:rPr>
          <w:rFonts w:eastAsia="Calibri" w:cs="Times New Roman"/>
        </w:rPr>
        <w:t>Roeko</w:t>
      </w:r>
      <w:proofErr w:type="spellEnd"/>
      <w:r w:rsidRPr="00EA2AB2">
        <w:rPr>
          <w:rFonts w:eastAsia="Calibri" w:cs="Times New Roman"/>
        </w:rPr>
        <w:t xml:space="preserve"> </w:t>
      </w:r>
      <w:proofErr w:type="spellStart"/>
      <w:r w:rsidRPr="00EA2AB2">
        <w:rPr>
          <w:rFonts w:eastAsia="Calibri" w:cs="Times New Roman"/>
        </w:rPr>
        <w:t>Seal</w:t>
      </w:r>
      <w:proofErr w:type="spellEnd"/>
      <w:r w:rsidRPr="00EA2AB2">
        <w:rPr>
          <w:rFonts w:eastAsia="Calibri" w:cs="Times New Roman"/>
        </w:rPr>
        <w:t xml:space="preserve"> </w:t>
      </w:r>
      <w:proofErr w:type="spellStart"/>
      <w:r w:rsidRPr="00EA2AB2">
        <w:rPr>
          <w:rFonts w:eastAsia="Calibri" w:cs="Times New Roman"/>
        </w:rPr>
        <w:t>Automix</w:t>
      </w:r>
      <w:proofErr w:type="spellEnd"/>
      <w:r w:rsidRPr="00EA2AB2">
        <w:rPr>
          <w:rFonts w:eastAsia="Calibri" w:cs="Times New Roman"/>
        </w:rPr>
        <w:t xml:space="preserve"> (RSA), Gutta-</w:t>
      </w:r>
      <w:proofErr w:type="spellStart"/>
      <w:r w:rsidRPr="00EA2AB2">
        <w:rPr>
          <w:rFonts w:eastAsia="Calibri" w:cs="Times New Roman"/>
        </w:rPr>
        <w:t>Flow</w:t>
      </w:r>
      <w:proofErr w:type="spellEnd"/>
      <w:r w:rsidRPr="00EA2AB2">
        <w:rPr>
          <w:rFonts w:eastAsia="Calibri" w:cs="Times New Roman"/>
        </w:rPr>
        <w:t xml:space="preserve"> (GF), </w:t>
      </w:r>
      <w:proofErr w:type="spellStart"/>
      <w:r w:rsidRPr="00EA2AB2">
        <w:rPr>
          <w:rFonts w:eastAsia="Calibri" w:cs="Times New Roman"/>
        </w:rPr>
        <w:t>Apexit</w:t>
      </w:r>
      <w:proofErr w:type="spellEnd"/>
      <w:r w:rsidRPr="00EA2AB2">
        <w:rPr>
          <w:rFonts w:eastAsia="Calibri" w:cs="Times New Roman"/>
        </w:rPr>
        <w:t xml:space="preserve"> Plus (AP), </w:t>
      </w:r>
      <w:proofErr w:type="spellStart"/>
      <w:r w:rsidRPr="00EA2AB2">
        <w:rPr>
          <w:rFonts w:eastAsia="Calibri" w:cs="Times New Roman"/>
        </w:rPr>
        <w:t>Sealapex</w:t>
      </w:r>
      <w:proofErr w:type="spellEnd"/>
      <w:r w:rsidRPr="00EA2AB2">
        <w:rPr>
          <w:rFonts w:eastAsia="Calibri" w:cs="Times New Roman"/>
        </w:rPr>
        <w:t xml:space="preserve"> (SP), </w:t>
      </w:r>
      <w:proofErr w:type="spellStart"/>
      <w:r w:rsidRPr="00EA2AB2">
        <w:rPr>
          <w:rFonts w:eastAsia="Calibri" w:cs="Times New Roman"/>
        </w:rPr>
        <w:t>Endomethasone</w:t>
      </w:r>
      <w:proofErr w:type="spellEnd"/>
      <w:r w:rsidRPr="00EA2AB2">
        <w:rPr>
          <w:rFonts w:eastAsia="Calibri" w:cs="Times New Roman"/>
        </w:rPr>
        <w:t xml:space="preserve"> N (EN), </w:t>
      </w:r>
      <w:proofErr w:type="spellStart"/>
      <w:r w:rsidRPr="00EA2AB2">
        <w:rPr>
          <w:rFonts w:eastAsia="Calibri" w:cs="Times New Roman"/>
        </w:rPr>
        <w:t>Tubliseal</w:t>
      </w:r>
      <w:proofErr w:type="spellEnd"/>
      <w:r w:rsidRPr="00EA2AB2">
        <w:rPr>
          <w:rFonts w:eastAsia="Calibri" w:cs="Times New Roman"/>
        </w:rPr>
        <w:t xml:space="preserve"> (TS). </w:t>
      </w:r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t xml:space="preserve"> Po zarobieniu materiały aplikowano do plastikowych pierścieni. I grupę stanowiły uszczelniacze badane bezpośrednio po zarobieniu; II grupę – materiały po stwardnieniu, pozostawione do związania przez 24 h w temp. 37°C, 5% CO</w:t>
      </w:r>
      <w:r w:rsidRPr="00E62275">
        <w:rPr>
          <w:rFonts w:eastAsia="Calibri" w:cs="Times New Roman"/>
          <w:vertAlign w:val="subscript"/>
        </w:rPr>
        <w:t>2</w:t>
      </w:r>
      <w:r w:rsidRPr="00EA2AB2">
        <w:rPr>
          <w:rFonts w:eastAsia="Calibri" w:cs="Times New Roman"/>
        </w:rPr>
        <w:t xml:space="preserve"> i 95% wilgotności. Pierścienie z preparatami umieszczono w insertach, które  przenoszono do płytek hodowlanych, zawierających ludzkie fibroblasty ozębnej. Czas inkubacji fibroblastów z materiałami („świeżymi” i </w:t>
      </w:r>
      <w:r>
        <w:rPr>
          <w:rFonts w:eastAsia="Calibri" w:cs="Times New Roman"/>
        </w:rPr>
        <w:t>„</w:t>
      </w:r>
      <w:r w:rsidRPr="00EA2AB2">
        <w:rPr>
          <w:rFonts w:eastAsia="Calibri" w:cs="Times New Roman"/>
        </w:rPr>
        <w:t xml:space="preserve">twardymi”) wynosił 24h.  </w:t>
      </w:r>
      <w:proofErr w:type="spellStart"/>
      <w:r w:rsidRPr="00EA2AB2">
        <w:rPr>
          <w:rFonts w:eastAsia="Calibri" w:cs="Times New Roman"/>
        </w:rPr>
        <w:t>Peletki</w:t>
      </w:r>
      <w:proofErr w:type="spellEnd"/>
      <w:r w:rsidRPr="00EA2AB2">
        <w:rPr>
          <w:rFonts w:eastAsia="Calibri" w:cs="Times New Roman"/>
        </w:rPr>
        <w:t xml:space="preserve"> gutaperki i </w:t>
      </w:r>
      <w:proofErr w:type="spellStart"/>
      <w:r w:rsidRPr="00EA2AB2">
        <w:rPr>
          <w:rFonts w:eastAsia="Calibri" w:cs="Times New Roman"/>
        </w:rPr>
        <w:t>resilonu</w:t>
      </w:r>
      <w:proofErr w:type="spellEnd"/>
      <w:r w:rsidRPr="00EA2AB2">
        <w:rPr>
          <w:rFonts w:eastAsia="Calibri" w:cs="Times New Roman"/>
        </w:rPr>
        <w:t xml:space="preserve"> badano, jako materiały twarde.</w:t>
      </w:r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lastRenderedPageBreak/>
        <w:t xml:space="preserve">Ocenę działania cytotoksycznego materiałów przeprowadzono z wykorzystaniem testu badającego aktywność– dehydrogenazy </w:t>
      </w:r>
      <w:proofErr w:type="spellStart"/>
      <w:r w:rsidRPr="00EA2AB2">
        <w:rPr>
          <w:rFonts w:eastAsia="Calibri" w:cs="Times New Roman"/>
        </w:rPr>
        <w:t>bursztynianowej</w:t>
      </w:r>
      <w:proofErr w:type="spellEnd"/>
      <w:r w:rsidRPr="00EA2AB2">
        <w:rPr>
          <w:rFonts w:eastAsia="Calibri" w:cs="Times New Roman"/>
        </w:rPr>
        <w:t xml:space="preserve"> (MTT). Pomiaru poziomu wewnątrzkomórkowych reaktywnych form tlenu (RFT) dokonano metodą </w:t>
      </w:r>
      <w:proofErr w:type="spellStart"/>
      <w:r w:rsidRPr="00EA2AB2">
        <w:rPr>
          <w:rFonts w:eastAsia="Calibri" w:cs="Times New Roman"/>
        </w:rPr>
        <w:t>cytometrii</w:t>
      </w:r>
      <w:proofErr w:type="spellEnd"/>
      <w:r w:rsidRPr="00EA2AB2">
        <w:rPr>
          <w:rFonts w:eastAsia="Calibri" w:cs="Times New Roman"/>
        </w:rPr>
        <w:t xml:space="preserve"> przepływowej przy użyciu 2’,7’-dioctanu </w:t>
      </w:r>
      <w:proofErr w:type="spellStart"/>
      <w:r w:rsidRPr="00EA2AB2">
        <w:rPr>
          <w:rFonts w:eastAsia="Calibri" w:cs="Times New Roman"/>
        </w:rPr>
        <w:t>dichlorofluoresceiny</w:t>
      </w:r>
      <w:proofErr w:type="spellEnd"/>
      <w:r w:rsidRPr="00EA2AB2">
        <w:rPr>
          <w:rFonts w:eastAsia="Calibri" w:cs="Times New Roman"/>
        </w:rPr>
        <w:t xml:space="preserve">. Ilościowe oznaczenie komórek będących w stanie apoptozy lub nekrozy oceniono metodą </w:t>
      </w:r>
      <w:proofErr w:type="spellStart"/>
      <w:r w:rsidRPr="00EA2AB2">
        <w:rPr>
          <w:rFonts w:eastAsia="Calibri" w:cs="Times New Roman"/>
        </w:rPr>
        <w:t>cytometrii</w:t>
      </w:r>
      <w:proofErr w:type="spellEnd"/>
      <w:r w:rsidRPr="00EA2AB2">
        <w:rPr>
          <w:rFonts w:eastAsia="Calibri" w:cs="Times New Roman"/>
        </w:rPr>
        <w:t xml:space="preserve"> przepływowej z wykorzystaniem testu </w:t>
      </w:r>
      <w:proofErr w:type="spellStart"/>
      <w:r w:rsidRPr="00EA2AB2">
        <w:rPr>
          <w:rFonts w:eastAsia="Calibri" w:cs="Times New Roman"/>
        </w:rPr>
        <w:t>Annexin</w:t>
      </w:r>
      <w:proofErr w:type="spellEnd"/>
      <w:r w:rsidRPr="00EA2AB2">
        <w:rPr>
          <w:rFonts w:eastAsia="Calibri" w:cs="Times New Roman"/>
        </w:rPr>
        <w:t xml:space="preserve"> V-FITC </w:t>
      </w:r>
      <w:proofErr w:type="spellStart"/>
      <w:r w:rsidRPr="00EA2AB2">
        <w:rPr>
          <w:rFonts w:eastAsia="Calibri" w:cs="Times New Roman"/>
        </w:rPr>
        <w:t>Apoptosis</w:t>
      </w:r>
      <w:proofErr w:type="spellEnd"/>
      <w:r w:rsidRPr="00EA2AB2">
        <w:rPr>
          <w:rFonts w:eastAsia="Calibri" w:cs="Times New Roman"/>
        </w:rPr>
        <w:t xml:space="preserve"> Kit. Uzyskane wyniki poddano analizie statystycznej z wykorzystaniem pakietu SPSS 21.0. Ustalony poziom istotności wynosił p&lt;0,05.</w:t>
      </w:r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t xml:space="preserve">Oceniając cytotoksyczność materiałów metodą MTT przyjęto kryteria wg </w:t>
      </w:r>
      <w:proofErr w:type="spellStart"/>
      <w:r w:rsidRPr="00EA2AB2">
        <w:rPr>
          <w:rFonts w:eastAsia="Calibri" w:cs="Times New Roman"/>
        </w:rPr>
        <w:t>Dahla</w:t>
      </w:r>
      <w:proofErr w:type="spellEnd"/>
      <w:r w:rsidRPr="00EA2AB2">
        <w:rPr>
          <w:rFonts w:eastAsia="Calibri" w:cs="Times New Roman"/>
        </w:rPr>
        <w:t xml:space="preserve"> i </w:t>
      </w:r>
      <w:proofErr w:type="spellStart"/>
      <w:r w:rsidRPr="00EA2AB2">
        <w:rPr>
          <w:rFonts w:eastAsia="Calibri" w:cs="Times New Roman"/>
        </w:rPr>
        <w:t>wsp</w:t>
      </w:r>
      <w:proofErr w:type="spellEnd"/>
      <w:r w:rsidRPr="00EA2AB2">
        <w:rPr>
          <w:rFonts w:eastAsia="Calibri" w:cs="Times New Roman"/>
        </w:rPr>
        <w:t>.: brak cytotoksyczności &gt; 90 % żywotności komórek w stosunku do kontroli; niska cytotoksyczność - 60 % - 90 %; umiarkowana–30 % – 59 %; wysoka  &lt; 30 %.</w:t>
      </w:r>
    </w:p>
    <w:p w:rsidR="000952FE" w:rsidRPr="00EA2AB2" w:rsidRDefault="000952FE" w:rsidP="000952FE">
      <w:pPr>
        <w:ind w:right="-285" w:firstLine="708"/>
        <w:rPr>
          <w:rFonts w:eastAsia="Calibri" w:cs="Times New Roman"/>
        </w:rPr>
      </w:pPr>
      <w:r w:rsidRPr="00EA2AB2">
        <w:rPr>
          <w:rFonts w:eastAsia="Calibri" w:cs="Times New Roman"/>
        </w:rPr>
        <w:t xml:space="preserve">W grupie I żaden z preparatów nie wykazał wysokiej cytotoksyczności. Umiarkowaną cytotoksycznością charakteryzowały się META (34,36% ± 3,26), EN (48,59% ± 1,01), </w:t>
      </w:r>
      <w:r w:rsidRPr="00EA2AB2">
        <w:rPr>
          <w:rFonts w:eastAsia="Calibri" w:cs="Times New Roman"/>
          <w:bCs/>
        </w:rPr>
        <w:t>RSEAL (</w:t>
      </w:r>
      <w:r w:rsidRPr="00EA2AB2">
        <w:rPr>
          <w:rFonts w:eastAsia="Calibri" w:cs="Times New Roman"/>
        </w:rPr>
        <w:t>48,59% ± 3,73). Istotne statystycznie różnice w przeżywalności komórek stwierdzono między wszystkimi materiałami o umiarkowanej cytotoksyczności, a pozostałymi uszczelniaczami (p&lt;0,05). Niską cytotoksyczność odnotowano przy materiałach AH (71,24% ± 7,45),</w:t>
      </w:r>
      <w:r w:rsidRPr="00EA2AB2">
        <w:rPr>
          <w:rFonts w:eastAsia="Calibri" w:cs="Times New Roman"/>
          <w:bCs/>
        </w:rPr>
        <w:t xml:space="preserve"> SP (71,39% </w:t>
      </w:r>
      <w:r w:rsidRPr="00EA2AB2">
        <w:rPr>
          <w:rFonts w:eastAsia="Calibri" w:cs="Times New Roman"/>
        </w:rPr>
        <w:t>±</w:t>
      </w:r>
      <w:r w:rsidRPr="00EA2AB2">
        <w:rPr>
          <w:rFonts w:eastAsia="Calibri" w:cs="Times New Roman"/>
          <w:bCs/>
        </w:rPr>
        <w:t xml:space="preserve"> 4,63) i </w:t>
      </w:r>
      <w:r w:rsidRPr="00EA2AB2">
        <w:rPr>
          <w:rFonts w:eastAsia="Calibri" w:cs="Times New Roman"/>
        </w:rPr>
        <w:t xml:space="preserve">TS (71,39% ± 7,07), co było znamienne statystycznie w stosunku do pozostałych uszczelniaczy z grupy I (p&lt;0,05). Brak cytotoksyczności wykazały GF (143,44% ± 12,84), </w:t>
      </w:r>
      <w:r w:rsidRPr="00EA2AB2">
        <w:rPr>
          <w:rFonts w:eastAsia="Calibri" w:cs="Times New Roman"/>
          <w:bCs/>
        </w:rPr>
        <w:t xml:space="preserve">RSA </w:t>
      </w:r>
      <w:r w:rsidRPr="00EA2AB2">
        <w:rPr>
          <w:rFonts w:eastAsia="Calibri" w:cs="Times New Roman"/>
        </w:rPr>
        <w:t xml:space="preserve">(127,06% ± 16,57 oraz </w:t>
      </w:r>
      <w:r w:rsidRPr="00EA2AB2">
        <w:rPr>
          <w:rFonts w:eastAsia="Calibri" w:cs="Times New Roman"/>
          <w:lang w:val="de-DE"/>
        </w:rPr>
        <w:t xml:space="preserve">AP (95,68% </w:t>
      </w:r>
      <w:r w:rsidRPr="00EA2AB2">
        <w:rPr>
          <w:rFonts w:eastAsia="Calibri" w:cs="Times New Roman"/>
        </w:rPr>
        <w:t xml:space="preserve">± 8,62) i FL </w:t>
      </w:r>
      <w:r w:rsidRPr="00EA2AB2">
        <w:rPr>
          <w:rFonts w:eastAsia="Calibri" w:cs="Times New Roman"/>
          <w:lang w:val="de-DE"/>
        </w:rPr>
        <w:t xml:space="preserve">(92,11% </w:t>
      </w:r>
      <w:r w:rsidRPr="00EA2AB2">
        <w:rPr>
          <w:rFonts w:eastAsia="Calibri" w:cs="Times New Roman"/>
        </w:rPr>
        <w:t>± 12,44). Statystycznie istotne różnice w przeżywalności fibroblastów ozębnej, stwierdzono między wszystkimi materiałami cechującymi się brakiem cytotoksyczności, a pozostałymi uszczelniaczami (p&lt;0,05). Porównując ze sobą formę „świeżą” i „związaną” uszczelniaczy istotnie niższy odsetek żywych komórek w hodowli stwierdzono po stwardnieniu w odniesieniu do: SP, AH, TS, FL, GF (p&lt;0,05)</w:t>
      </w:r>
      <w:r w:rsidRPr="00EA2AB2">
        <w:rPr>
          <w:rFonts w:eastAsia="Calibri" w:cs="Times New Roman"/>
          <w:bCs/>
        </w:rPr>
        <w:t>. Odwrotną i statystycznie istotną różnice w przeżywalności komórek zaobserwowano w przypadku RSEAL (p&lt;0,001), który okazał się bardziej toksyczny bezpośrednio po zarobieniu niż po związaniu.</w:t>
      </w:r>
    </w:p>
    <w:p w:rsidR="000952FE" w:rsidRPr="00EA2AB2" w:rsidRDefault="000952FE" w:rsidP="000952FE">
      <w:pPr>
        <w:ind w:right="-285" w:firstLine="708"/>
        <w:rPr>
          <w:rFonts w:eastAsia="Calibri" w:cs="Times New Roman"/>
        </w:rPr>
      </w:pPr>
      <w:r w:rsidRPr="00EA2AB2">
        <w:rPr>
          <w:rFonts w:eastAsia="Calibri" w:cs="Times New Roman"/>
        </w:rPr>
        <w:t xml:space="preserve">W grupie II żaden z badanych materiałów nie wykazał wysokiej cytotoksyczności. Umiarkowaną cytotoksycznością charakteryzowały się: META (35,71 ± 1,98), </w:t>
      </w:r>
      <w:r w:rsidRPr="00EA2AB2">
        <w:rPr>
          <w:rFonts w:eastAsia="Calibri" w:cs="Times New Roman"/>
          <w:bCs/>
        </w:rPr>
        <w:t>SP (</w:t>
      </w:r>
      <w:r w:rsidRPr="00EA2AB2">
        <w:rPr>
          <w:rFonts w:eastAsia="Calibri" w:cs="Times New Roman"/>
        </w:rPr>
        <w:t>45,24% ± 2,71)</w:t>
      </w:r>
      <w:r w:rsidRPr="00EA2AB2">
        <w:rPr>
          <w:rFonts w:eastAsia="Calibri" w:cs="Times New Roman"/>
          <w:bCs/>
        </w:rPr>
        <w:t xml:space="preserve">, </w:t>
      </w:r>
      <w:r w:rsidRPr="00EA2AB2">
        <w:rPr>
          <w:rFonts w:eastAsia="Calibri" w:cs="Times New Roman"/>
        </w:rPr>
        <w:t xml:space="preserve">EN (50,61% ± 4,41), AH </w:t>
      </w:r>
      <w:r w:rsidRPr="00EA2AB2">
        <w:rPr>
          <w:rFonts w:eastAsia="Calibri" w:cs="Times New Roman"/>
          <w:bCs/>
        </w:rPr>
        <w:t>(</w:t>
      </w:r>
      <w:r w:rsidRPr="00EA2AB2">
        <w:rPr>
          <w:rFonts w:eastAsia="Calibri" w:cs="Times New Roman"/>
        </w:rPr>
        <w:t xml:space="preserve">51,33% ± 8,54) oraz TS </w:t>
      </w:r>
      <w:r w:rsidRPr="00EA2AB2">
        <w:rPr>
          <w:rFonts w:eastAsia="Calibri" w:cs="Times New Roman"/>
          <w:bCs/>
        </w:rPr>
        <w:t>(</w:t>
      </w:r>
      <w:r w:rsidRPr="00EA2AB2">
        <w:rPr>
          <w:rFonts w:eastAsia="Calibri" w:cs="Times New Roman"/>
        </w:rPr>
        <w:t xml:space="preserve">58,04% ± 7,77). Istotne statystycznie różnice odnotowano między prawie wszystkimi materiałami o umiarkowanej cytotoksyczności (z wyjątkiem TS), a pozostałymi uszczelniaczami (p&lt;0,05).  </w:t>
      </w:r>
      <w:r w:rsidRPr="00EA2AB2">
        <w:rPr>
          <w:rFonts w:eastAsia="Calibri" w:cs="Times New Roman"/>
          <w:bCs/>
        </w:rPr>
        <w:t xml:space="preserve">Niską cytotoksyczność odnotowano przy </w:t>
      </w:r>
      <w:r w:rsidRPr="00EA2AB2">
        <w:rPr>
          <w:rFonts w:eastAsia="Calibri" w:cs="Times New Roman"/>
        </w:rPr>
        <w:t xml:space="preserve">FL (70,50% ± 2,45) i </w:t>
      </w:r>
      <w:r w:rsidRPr="00EA2AB2">
        <w:rPr>
          <w:rFonts w:eastAsia="Calibri" w:cs="Times New Roman"/>
          <w:bCs/>
        </w:rPr>
        <w:t xml:space="preserve">RSEAL (67,52% </w:t>
      </w:r>
      <w:r w:rsidRPr="00EA2AB2">
        <w:rPr>
          <w:rFonts w:eastAsia="Calibri" w:cs="Times New Roman"/>
        </w:rPr>
        <w:t xml:space="preserve">± 3,57), co okazało się znamienne statystycznie w odniesieniu do pozostałych preparatów (p&lt;0,05), z wyjątkiem RSEAL i TS. Brak cytotoksyczności wykazały GF (110,49% ± 6,02), </w:t>
      </w:r>
      <w:r w:rsidRPr="00EA2AB2">
        <w:rPr>
          <w:rFonts w:eastAsia="Calibri" w:cs="Times New Roman"/>
          <w:bCs/>
        </w:rPr>
        <w:t>RSA</w:t>
      </w:r>
      <w:r w:rsidRPr="00EA2AB2">
        <w:rPr>
          <w:rFonts w:eastAsia="Calibri" w:cs="Times New Roman"/>
        </w:rPr>
        <w:t xml:space="preserve">(103,08% ± 6,17) oraz </w:t>
      </w:r>
      <w:r w:rsidRPr="00EA2AB2">
        <w:rPr>
          <w:rFonts w:eastAsia="Calibri" w:cs="Times New Roman"/>
          <w:lang w:val="de-DE"/>
        </w:rPr>
        <w:t>AP (</w:t>
      </w:r>
      <w:r w:rsidRPr="00EA2AB2">
        <w:rPr>
          <w:rFonts w:eastAsia="Calibri" w:cs="Times New Roman"/>
        </w:rPr>
        <w:t xml:space="preserve">102,41% ± 2,01), co było istotne statystycznie w porównaniu pozostałymi uszczelniaczami (p&lt;0,05). GP </w:t>
      </w:r>
      <w:r w:rsidRPr="00EA2AB2">
        <w:rPr>
          <w:rFonts w:eastAsia="Calibri" w:cs="Times New Roman"/>
          <w:lang w:val="de-DE"/>
        </w:rPr>
        <w:lastRenderedPageBreak/>
        <w:t xml:space="preserve">(111,58% </w:t>
      </w:r>
      <w:r w:rsidRPr="00EA2AB2">
        <w:rPr>
          <w:rFonts w:eastAsia="Calibri" w:cs="Times New Roman"/>
        </w:rPr>
        <w:t xml:space="preserve">± 5,06) cechowała się statystycznie istotnie niższą cytotoksycznością w porównaniu z RLN (53,14% ± 2,9) (p&lt;0,001).  </w:t>
      </w:r>
    </w:p>
    <w:p w:rsidR="000952FE" w:rsidRPr="00EA2AB2" w:rsidRDefault="000952FE" w:rsidP="000952FE">
      <w:pPr>
        <w:ind w:right="-285" w:firstLine="425"/>
        <w:rPr>
          <w:rFonts w:eastAsia="Calibri" w:cs="Times New Roman"/>
          <w:bCs/>
        </w:rPr>
      </w:pPr>
      <w:r w:rsidRPr="00EA2AB2">
        <w:rPr>
          <w:rFonts w:eastAsia="Calibri" w:cs="Times New Roman"/>
        </w:rPr>
        <w:t>W komórkach eksponowanych na badane materiały, jedynie „świeża” forma uszczelniaczy (grupa I) indukowała istotnie wyższy poziom RFT, w porównaniu z materiałami „związanymi” (grupa II) (p&lt;0,001). Najwyższy poziom RFT był obserwowany po ekspozycji komórek na „świeżą” formę META i EN. Nie odnotowano natomiast żadnych, znamiennych różnic w poziomie stresu oksydacyjnego pomiędzy poszczególnymi uszczelniaczami związanymi, jak i między GP i RLN (p&gt;0,05).</w:t>
      </w:r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t>Cytotoksyczność uszczelniaczy opartych na salicylanach (FL, SP) i eugenolu (EN i TS) oraz META była związana głównie z procesem nekrozy, a materiałów na bazie żywic (AH i RSEAL) oraz AP – apoptozy. Nie wykazano istotnie statystycznych różnić między indukowaniem procesu apoptozy i nekrozy pomiędzy GP i RLN (p&gt;0,05)</w:t>
      </w:r>
    </w:p>
    <w:p w:rsidR="000952FE" w:rsidRPr="00EA2AB2" w:rsidRDefault="000952FE" w:rsidP="000952FE">
      <w:pPr>
        <w:ind w:right="-285" w:firstLine="432"/>
        <w:rPr>
          <w:rFonts w:eastAsia="Calibri" w:cs="Times New Roman"/>
        </w:rPr>
      </w:pPr>
      <w:r w:rsidRPr="00EA2AB2">
        <w:rPr>
          <w:rFonts w:eastAsia="Calibri" w:cs="Times New Roman"/>
        </w:rPr>
        <w:t>Wnioski:</w:t>
      </w:r>
    </w:p>
    <w:p w:rsidR="000952FE" w:rsidRPr="00EA2AB2" w:rsidRDefault="000952FE" w:rsidP="000952FE">
      <w:pPr>
        <w:ind w:left="284" w:right="-285"/>
        <w:contextualSpacing/>
        <w:rPr>
          <w:rFonts w:eastAsia="Calibri" w:cs="Times New Roman"/>
        </w:rPr>
      </w:pPr>
      <w:r w:rsidRPr="00EA2AB2">
        <w:rPr>
          <w:rFonts w:eastAsia="Calibri" w:cs="Times New Roman"/>
        </w:rPr>
        <w:t>1.</w:t>
      </w:r>
      <w:r>
        <w:rPr>
          <w:rFonts w:eastAsia="Calibri" w:cs="Times New Roman"/>
        </w:rPr>
        <w:tab/>
        <w:t xml:space="preserve"> </w:t>
      </w:r>
      <w:r w:rsidRPr="00EA2AB2">
        <w:rPr>
          <w:rFonts w:eastAsia="Calibri" w:cs="Times New Roman"/>
        </w:rPr>
        <w:t xml:space="preserve">Działanie cytotoksyczne materiałów do ostatecznego wypełnienia kanałów korzeniowych („świeżych” i „twardych”), wobec ludzkich  fibroblastów ozębnej, było zróżnicowane. </w:t>
      </w:r>
    </w:p>
    <w:p w:rsidR="000952FE" w:rsidRPr="00EA2AB2" w:rsidRDefault="000952FE" w:rsidP="000952FE">
      <w:pPr>
        <w:ind w:left="284" w:right="-285"/>
        <w:contextualSpacing/>
        <w:rPr>
          <w:rFonts w:eastAsia="Calibri" w:cs="Times New Roman"/>
        </w:rPr>
      </w:pPr>
      <w:r w:rsidRPr="00EA2AB2">
        <w:rPr>
          <w:rFonts w:eastAsia="Calibri" w:cs="Times New Roman"/>
        </w:rPr>
        <w:t>2.</w:t>
      </w:r>
      <w:r>
        <w:rPr>
          <w:rFonts w:eastAsia="Calibri" w:cs="Times New Roman"/>
        </w:rPr>
        <w:tab/>
        <w:t xml:space="preserve"> </w:t>
      </w:r>
      <w:r w:rsidRPr="00EA2AB2">
        <w:rPr>
          <w:rFonts w:eastAsia="Calibri" w:cs="Times New Roman"/>
        </w:rPr>
        <w:t>Największą cytotoksycznością, ocenioną testem MTT, charakteryzowały się uszczelniacze metakrylowe, tlenkowo-cynkowo-</w:t>
      </w:r>
      <w:proofErr w:type="spellStart"/>
      <w:r w:rsidRPr="00EA2AB2">
        <w:rPr>
          <w:rFonts w:eastAsia="Calibri" w:cs="Times New Roman"/>
        </w:rPr>
        <w:t>eugenolowe</w:t>
      </w:r>
      <w:proofErr w:type="spellEnd"/>
      <w:r w:rsidRPr="00EA2AB2">
        <w:rPr>
          <w:rFonts w:eastAsia="Calibri" w:cs="Times New Roman"/>
        </w:rPr>
        <w:t xml:space="preserve"> i </w:t>
      </w:r>
      <w:proofErr w:type="spellStart"/>
      <w:r w:rsidRPr="00EA2AB2">
        <w:rPr>
          <w:rFonts w:eastAsia="Calibri" w:cs="Times New Roman"/>
        </w:rPr>
        <w:t>resilon</w:t>
      </w:r>
      <w:proofErr w:type="spellEnd"/>
      <w:r w:rsidRPr="00EA2AB2">
        <w:rPr>
          <w:rFonts w:eastAsia="Calibri" w:cs="Times New Roman"/>
        </w:rPr>
        <w:t xml:space="preserve">. Brak działania cytotoksycznego wykazały uszczelniacze </w:t>
      </w:r>
      <w:proofErr w:type="spellStart"/>
      <w:r w:rsidRPr="00EA2AB2">
        <w:rPr>
          <w:rFonts w:eastAsia="Calibri" w:cs="Times New Roman"/>
        </w:rPr>
        <w:t>siloksanowe</w:t>
      </w:r>
      <w:proofErr w:type="spellEnd"/>
      <w:r w:rsidRPr="00EA2AB2">
        <w:rPr>
          <w:rFonts w:eastAsia="Calibri" w:cs="Times New Roman"/>
        </w:rPr>
        <w:t xml:space="preserve"> i gutaperka.</w:t>
      </w:r>
    </w:p>
    <w:p w:rsidR="000952FE" w:rsidRPr="00EA2AB2" w:rsidRDefault="000952FE" w:rsidP="000952FE">
      <w:pPr>
        <w:ind w:left="284" w:right="-285"/>
        <w:contextualSpacing/>
        <w:rPr>
          <w:rFonts w:eastAsia="Calibri" w:cs="Times New Roman"/>
        </w:rPr>
      </w:pPr>
      <w:r w:rsidRPr="00EA2AB2">
        <w:rPr>
          <w:rFonts w:eastAsia="Calibri" w:cs="Times New Roman"/>
        </w:rPr>
        <w:t>3.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 w:rsidRPr="00EA2AB2">
        <w:rPr>
          <w:rFonts w:eastAsia="Calibri" w:cs="Times New Roman"/>
        </w:rPr>
        <w:t xml:space="preserve">Uszczelniacze kanałowe w obu formach, a także gutaperka i </w:t>
      </w:r>
      <w:proofErr w:type="spellStart"/>
      <w:r w:rsidRPr="00EA2AB2">
        <w:rPr>
          <w:rFonts w:eastAsia="Calibri" w:cs="Times New Roman"/>
        </w:rPr>
        <w:t>resilon</w:t>
      </w:r>
      <w:proofErr w:type="spellEnd"/>
      <w:r w:rsidRPr="00EA2AB2">
        <w:rPr>
          <w:rFonts w:eastAsia="Calibri" w:cs="Times New Roman"/>
        </w:rPr>
        <w:t xml:space="preserve"> były zdolne do wywoływania działania toksycznego, indukując procesy apoptozy i/lub nekrozy w ludzkich fibroblastach ozębnej. </w:t>
      </w:r>
    </w:p>
    <w:p w:rsidR="000952FE" w:rsidRPr="00EA2AB2" w:rsidRDefault="000952FE" w:rsidP="000952FE">
      <w:pPr>
        <w:ind w:left="284" w:right="-285"/>
        <w:contextualSpacing/>
        <w:rPr>
          <w:rFonts w:eastAsia="Calibri" w:cs="Times New Roman"/>
        </w:rPr>
      </w:pPr>
      <w:r w:rsidRPr="00EA2AB2">
        <w:rPr>
          <w:rFonts w:eastAsia="Calibri" w:cs="Times New Roman"/>
        </w:rPr>
        <w:t>4.</w:t>
      </w:r>
      <w:r>
        <w:rPr>
          <w:rFonts w:eastAsia="Calibri" w:cs="Times New Roman"/>
        </w:rPr>
        <w:tab/>
        <w:t xml:space="preserve"> </w:t>
      </w:r>
      <w:r w:rsidRPr="00EA2AB2">
        <w:rPr>
          <w:rFonts w:eastAsia="Calibri" w:cs="Times New Roman"/>
        </w:rPr>
        <w:t xml:space="preserve">Działanie toksyczne uszczelniaczy </w:t>
      </w:r>
      <w:proofErr w:type="spellStart"/>
      <w:r w:rsidRPr="00EA2AB2">
        <w:rPr>
          <w:rFonts w:eastAsia="Calibri" w:cs="Times New Roman"/>
        </w:rPr>
        <w:t>Endomethasone</w:t>
      </w:r>
      <w:proofErr w:type="spellEnd"/>
      <w:r w:rsidRPr="00EA2AB2">
        <w:rPr>
          <w:rFonts w:eastAsia="Calibri" w:cs="Times New Roman"/>
        </w:rPr>
        <w:t xml:space="preserve"> N, </w:t>
      </w:r>
      <w:proofErr w:type="spellStart"/>
      <w:r w:rsidRPr="00EA2AB2">
        <w:rPr>
          <w:rFonts w:eastAsia="Calibri" w:cs="Times New Roman"/>
        </w:rPr>
        <w:t>RealSeal</w:t>
      </w:r>
      <w:proofErr w:type="spellEnd"/>
      <w:r w:rsidRPr="00EA2AB2">
        <w:rPr>
          <w:rFonts w:eastAsia="Calibri" w:cs="Times New Roman"/>
        </w:rPr>
        <w:t xml:space="preserve">, </w:t>
      </w:r>
      <w:proofErr w:type="spellStart"/>
      <w:r w:rsidRPr="00EA2AB2">
        <w:rPr>
          <w:rFonts w:eastAsia="Calibri" w:cs="Times New Roman"/>
        </w:rPr>
        <w:t>Sealapex</w:t>
      </w:r>
      <w:proofErr w:type="spellEnd"/>
      <w:r w:rsidRPr="00EA2AB2">
        <w:rPr>
          <w:rFonts w:eastAsia="Calibri" w:cs="Times New Roman"/>
        </w:rPr>
        <w:t xml:space="preserve">, MTA </w:t>
      </w:r>
      <w:proofErr w:type="spellStart"/>
      <w:r w:rsidRPr="00EA2AB2">
        <w:rPr>
          <w:rFonts w:eastAsia="Calibri" w:cs="Times New Roman"/>
        </w:rPr>
        <w:t>Fillapex</w:t>
      </w:r>
      <w:proofErr w:type="spellEnd"/>
      <w:r w:rsidRPr="00EA2AB2">
        <w:rPr>
          <w:rFonts w:eastAsia="Calibri" w:cs="Times New Roman"/>
        </w:rPr>
        <w:t>, testowanych bezpośrednio po zarobieniu, może być spowodowane indukcją stresu oksydacyjnego w ludzkich fibroblastach ozębnej. Cytotoksyczność pozostałych badanych materiałów wydaje się być związana z udziałem innych mechanizmów.</w:t>
      </w:r>
    </w:p>
    <w:p w:rsidR="009C7601" w:rsidRDefault="000952FE" w:rsidP="000952FE">
      <w:r w:rsidRPr="00EA2AB2">
        <w:rPr>
          <w:rFonts w:eastAsia="Calibri" w:cs="Times New Roman"/>
        </w:rPr>
        <w:t>5.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 w:rsidRPr="00EA2AB2">
        <w:rPr>
          <w:rFonts w:eastAsia="Calibri" w:cs="Times New Roman"/>
        </w:rPr>
        <w:t xml:space="preserve">Ze względu na ryzyko utrzymywania się cytotoksycznego działania uszczelniaczy, podczas leczenia </w:t>
      </w:r>
      <w:proofErr w:type="spellStart"/>
      <w:r w:rsidRPr="00EA2AB2">
        <w:rPr>
          <w:rFonts w:eastAsia="Calibri" w:cs="Times New Roman"/>
        </w:rPr>
        <w:t>endodontycznego</w:t>
      </w:r>
      <w:proofErr w:type="spellEnd"/>
      <w:r w:rsidRPr="00EA2AB2">
        <w:rPr>
          <w:rFonts w:eastAsia="Calibri" w:cs="Times New Roman"/>
        </w:rPr>
        <w:t xml:space="preserve"> należy przestrzegać zasad, umożliwiających uniknięcie kontaktu materiału z tkankami okołowierzchołkowymi.</w:t>
      </w:r>
      <w:bookmarkStart w:id="1" w:name="_GoBack"/>
      <w:bookmarkEnd w:id="1"/>
    </w:p>
    <w:sectPr w:rsidR="009C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574C"/>
    <w:multiLevelType w:val="multilevel"/>
    <w:tmpl w:val="13E0EB7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eastAsiaTheme="majorEastAsia" w:hAnsi="Arial" w:cstheme="majorBidi"/>
      </w:rPr>
    </w:lvl>
    <w:lvl w:ilvl="1">
      <w:start w:val="1"/>
      <w:numFmt w:val="decimal"/>
      <w:pStyle w:val="Nagwek2"/>
      <w:lvlText w:val="%1.%2"/>
      <w:lvlJc w:val="left"/>
      <w:pPr>
        <w:ind w:left="2703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FE"/>
    <w:rsid w:val="000952FE"/>
    <w:rsid w:val="009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3E51-D7C9-4736-97E0-C08C8D88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FE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2FE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2FE"/>
    <w:pPr>
      <w:keepNext/>
      <w:keepLines/>
      <w:numPr>
        <w:ilvl w:val="1"/>
        <w:numId w:val="1"/>
      </w:numPr>
      <w:spacing w:before="200"/>
      <w:ind w:left="1284"/>
      <w:outlineLvl w:val="1"/>
    </w:pPr>
    <w:rPr>
      <w:rFonts w:ascii="Arial" w:eastAsiaTheme="majorEastAsia" w:hAnsi="Arial" w:cstheme="majorBidi"/>
      <w:b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52FE"/>
    <w:pPr>
      <w:keepNext/>
      <w:keepLines/>
      <w:numPr>
        <w:ilvl w:val="2"/>
        <w:numId w:val="1"/>
      </w:numPr>
      <w:spacing w:before="200"/>
      <w:ind w:left="2136"/>
      <w:outlineLvl w:val="2"/>
    </w:pPr>
    <w:rPr>
      <w:rFonts w:ascii="Arial" w:eastAsiaTheme="majorEastAsia" w:hAnsi="Arial" w:cstheme="majorBidi"/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52FE"/>
    <w:pPr>
      <w:keepNext/>
      <w:keepLines/>
      <w:numPr>
        <w:ilvl w:val="3"/>
        <w:numId w:val="1"/>
      </w:numPr>
      <w:spacing w:before="20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52F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52F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2F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2F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2F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2FE"/>
    <w:rPr>
      <w:rFonts w:ascii="Arial" w:eastAsiaTheme="majorEastAsia" w:hAnsi="Arial" w:cstheme="majorBidi"/>
      <w:b/>
      <w:bCs/>
      <w:sz w:val="4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52FE"/>
    <w:rPr>
      <w:rFonts w:ascii="Arial" w:eastAsiaTheme="majorEastAsia" w:hAnsi="Arial" w:cstheme="majorBidi"/>
      <w:b/>
      <w:bCs/>
      <w:sz w:val="3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52FE"/>
    <w:rPr>
      <w:rFonts w:ascii="Arial" w:eastAsiaTheme="majorEastAsia" w:hAnsi="Arial" w:cstheme="majorBidi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52FE"/>
    <w:rPr>
      <w:rFonts w:ascii="Arial" w:eastAsiaTheme="majorEastAsia" w:hAnsi="Arial" w:cstheme="majorBidi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52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952F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2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2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2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2018-06-08T07:36:00Z</dcterms:created>
  <dcterms:modified xsi:type="dcterms:W3CDTF">2018-06-08T07:36:00Z</dcterms:modified>
</cp:coreProperties>
</file>