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i/>
          <w:iCs/>
          <w:color w:val="000000"/>
        </w:rPr>
        <w:t xml:space="preserve">ZAŁĄCZNIK VIII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b/>
          <w:bCs/>
          <w:color w:val="000000"/>
        </w:rPr>
        <w:t xml:space="preserve">KLASYFIKACJA DOTKLIWOŚCI PROCEDUR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Dotkliwość danej procedury określa się przez określenie intensywności bólu, cierpienia,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 lub trwałego uszkodzenia, na które dane zwierzę może być narażone podczas jej wykonywania.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b/>
          <w:bCs/>
          <w:color w:val="000000"/>
        </w:rPr>
        <w:t xml:space="preserve">Sekcja I: Kategorie dotkliwości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Terminalne, bez odzyskania przytomności przez zwierzę: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Procedury wykonywane całkowicie w znieczuleniu ogólnym, po których zwierzę nie odzyskuje przytomności, określa się jako „terminalne, bez odzyskania przytomności przez zwierzę”.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Łagodne: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Procedury wykonywane na zwierzętach, w wyniku których zwierzęta mogą doświadczać krótkotrwałego łagodnego bólu, cierpienia lub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, jak również procedury bez istotnego niekorzystnego oddziaływania na dobrostan lub ogólny stan zwierząt określa się jako „łagodne”.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Umiarkowane: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Procedury wykonywane na zwierzętach, w wyniku których zwierzęta mogą doświadczać krótkotrwałego umiarkowanego bólu, cierpienia lub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 lub długotrwałego łagodnego bólu, cierpienia lub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, jak również procedury, które mogą powodować umiarkowane niekorzystne oddziaływanie na dobrostan lub ogólny stan zwierząt, określa się jako „umiarkowane”.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Dotkliwe: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Procedury wykonywane na zwierzętach, w wyniku których zwierzęta mogą doświadczać dotkliwego bólu, cierpienia lub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 lub długotrwałego umiarkowanego bólu, cierpienia lub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, jak również procedury, które mogą powodować dotkliwe niekorzystne oddziaływanie na dobrostan lub ogólny stan zwierząt, określa się jako „dotkliwe”.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b/>
          <w:bCs/>
          <w:color w:val="000000"/>
        </w:rPr>
        <w:t xml:space="preserve">Sekcja II: Kryteria przypisywania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Przy przypisywaniu kategorii dotkliwości bierze się pod uwagę wszelkie interwencje lub manipulacje dokonywane na zwierzęciu w ramach określonej procedury. Kategoria ta jest oparta na najbardziej dotkliwych skutkach, których prawdopodobnie doświadczy zwierzę po zastosowaniu wszystkich właściwych technik udoskonalania.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Przy przypisywaniu procedury do określonej kategorii uwzględnia się rodzaj procedury i inne czynniki. Wszystkie te czynniki są rozpatrywane indywidualnie.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Tymi czynnikami związanymi z procedurą są: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rodzaj manipulacji, oswojenie z eksperymentatorem,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charakter bólu, cierpienia,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 lub trwałego uszkodzenia spowodowanych przez (wszystkie elementy składające się na) procedurę, a także ich natężenie, czas trwania, częstotliwość, jak również wielorakość zastosowanych technik,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skumulowane cierpienie w wyniku danej procedury,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uniemożliwianie naturalnych </w:t>
      </w:r>
      <w:proofErr w:type="spellStart"/>
      <w:r w:rsidRPr="00B5200E">
        <w:rPr>
          <w:rFonts w:cs="EUAlbertina"/>
          <w:color w:val="000000"/>
        </w:rPr>
        <w:t>zachowań</w:t>
      </w:r>
      <w:proofErr w:type="spellEnd"/>
      <w:r w:rsidRPr="00B5200E">
        <w:rPr>
          <w:rFonts w:cs="EUAlbertina"/>
          <w:color w:val="000000"/>
        </w:rPr>
        <w:t xml:space="preserve">, w tym ograniczenia wobec standardów trzymania, hodowli i opieki.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>W sekcji III podano przykłady procedur przypisanych do każdej z kategorii dotkliwości na podstawie czynników związanych z rodzajem samej procedury. Stanowią one pierwszą wskazówkę co do tego, jaka klasyfikacja byłaby najodpowiedniejsza dla danego rodzaju procedury.PL L 276/76 Dziennik Urzędowy Unii Europejskiej 20.10.2010</w:t>
      </w:r>
    </w:p>
    <w:p w:rsidR="00B5200E" w:rsidRPr="00B5200E" w:rsidRDefault="00B5200E" w:rsidP="00B5200E">
      <w:pPr>
        <w:pStyle w:val="CM4"/>
        <w:pageBreakBefore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lastRenderedPageBreak/>
        <w:t xml:space="preserve">Jednakże dla celów ostatecznej klasyfikacji dotkliwości procedury uwzględnia się również następujące czynniki dodatkowe, oceniane indywidualnie dla każdego przypadku: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gatunek i genotyp,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dojrzałość, wiek i płeć zwierzęcia,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przyzwyczajenie zwierzęcia do danej procedury,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jeżeli zwierzę ma zostać wykorzystane ponownie – jaka była rzeczywista dotkliwość poprzednich procedur,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metody stosowane do zmniejszania lub eliminowania bólu, cierpienia i </w:t>
      </w:r>
      <w:proofErr w:type="spellStart"/>
      <w:r w:rsidRPr="00B5200E">
        <w:rPr>
          <w:rFonts w:cs="EUAlbertina"/>
          <w:color w:val="000000"/>
        </w:rPr>
        <w:t>dystresu</w:t>
      </w:r>
      <w:proofErr w:type="spellEnd"/>
      <w:r w:rsidRPr="00B5200E">
        <w:rPr>
          <w:rFonts w:cs="EUAlbertina"/>
          <w:color w:val="000000"/>
        </w:rPr>
        <w:t xml:space="preserve">, w tym polepszenie warunków trzymania, hodowli i opieki,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— humanitarne punkty końcowe.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b/>
          <w:bCs/>
          <w:color w:val="000000"/>
        </w:rPr>
        <w:t xml:space="preserve">Sekcja III: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Przykłady różnych rodzajów procedur przypisanych do każdej z kategorii dotkliwości na podstawie czynników związanych z rodzajem samej procedury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1. </w:t>
      </w:r>
      <w:r w:rsidRPr="00B5200E">
        <w:rPr>
          <w:rFonts w:cs="EUAlbertina"/>
          <w:b/>
          <w:color w:val="000000"/>
        </w:rPr>
        <w:t>Łagodne:</w:t>
      </w:r>
      <w:r w:rsidRPr="00B5200E">
        <w:rPr>
          <w:rFonts w:cs="EUAlbertina"/>
          <w:color w:val="000000"/>
        </w:rPr>
        <w:t xml:space="preserve">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a) stosowanie środków znieczulających, z wyłączeniem przypadków, kiedy jest to robione wyłącznie w celu uśmiercenia;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b) badanie farmakokinetyczne, w którym podaje się pojedynczą dawkę i pobiera się ograniczoną liczbę próbek krwi (łącznie &lt; 10 % objętości krwiobiegu) i nie oczekuje się, że badana substancja spowoduje jakiekolwiek wykrywalne działania niepożądane;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c) nieinwazyjne obrazowanie zwierząt (np. MRI) przy odpowiedniej sedacji lub znieczuleniu;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d) procedury powierzchowne, np. biopsje ucha i ogona, niechirurgiczne podskórne wszczepianie </w:t>
      </w:r>
      <w:proofErr w:type="spellStart"/>
      <w:r w:rsidRPr="00B5200E">
        <w:rPr>
          <w:rFonts w:cs="EUAlbertina"/>
          <w:color w:val="000000"/>
        </w:rPr>
        <w:t>minipomp</w:t>
      </w:r>
      <w:proofErr w:type="spellEnd"/>
      <w:r w:rsidRPr="00B5200E">
        <w:rPr>
          <w:rFonts w:cs="EUAlbertina"/>
          <w:color w:val="000000"/>
        </w:rPr>
        <w:t xml:space="preserve"> i nadajników;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e) stosowanie zewnętrznych urządzeń telemetrycznych, które mają jedynie niewielkie niekorzystne oddziaływanie na zwierzęta lub w niewielkim stopniu zakłócają normalną aktywność i zachowanie;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f) podawanie substancji drogami: podskórną, domięśniową lub dootrzewnową, przez sondę i dożylnie przez powierzchniowe naczynia krwionośne, kiedy substancja ma najwyżej łagodne oddziaływanie na zwierzę, a objętość dawki mieści się w granicach odpowiednich dla wielkości i gatunku zwierzęcia;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g) wywoływanie nowotworów lub nowotwory samoistne, które nie powodują wykrywalnych klinicznych działań niepożądanych (np. małe, podskórne, nieinwazyjne guzki);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h) hodowla genetycznie zmienionych zwierząt, która ma doprowadzić do powstania fenotypu z łagodnymi efektami;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i) podawanie zmodyfikowanej karmy, która nie zaspokaja wszystkich potrzeb żywieniowych zwierzęcia i prawdopodobnie spowoduje lekką anomalię kliniczną w czasie objętym badaniem;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j) krótkotrwałe (&lt; 24 h) zamknięcie w klatkach metabolicznych;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k) badania, w których dochodzi do krótkotrwałego odizolowania od współpartnerów, krótkotrwałe trzymanie pojedynczo w klatce dorosłych szczurów lub myszy ze szczepów </w:t>
      </w:r>
      <w:proofErr w:type="spellStart"/>
      <w:r w:rsidRPr="00B5200E">
        <w:rPr>
          <w:rFonts w:cs="EUAlbertina"/>
          <w:color w:val="000000"/>
        </w:rPr>
        <w:t>stadnych;PL</w:t>
      </w:r>
      <w:proofErr w:type="spellEnd"/>
      <w:r w:rsidRPr="00B5200E">
        <w:rPr>
          <w:rFonts w:cs="EUAlbertina"/>
          <w:color w:val="000000"/>
        </w:rPr>
        <w:t xml:space="preserve"> 20.10.2010 Dziennik Urzędowy Unii Europejskiej L 276/77</w:t>
      </w:r>
    </w:p>
    <w:p w:rsidR="00B5200E" w:rsidRPr="00B5200E" w:rsidRDefault="00B5200E" w:rsidP="00B5200E">
      <w:pPr>
        <w:pStyle w:val="CM4"/>
        <w:pageBreakBefore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lastRenderedPageBreak/>
        <w:t xml:space="preserve">l) modele, które wystawiają zwierzęta na działanie szkodliwych bodźców, które są krótkotrwale kojarzone z łagodnym bólem, cierpieniem lub </w:t>
      </w:r>
      <w:proofErr w:type="spellStart"/>
      <w:r w:rsidRPr="00B5200E">
        <w:rPr>
          <w:rFonts w:cs="EUAlbertina"/>
          <w:color w:val="000000"/>
        </w:rPr>
        <w:t>dystresem</w:t>
      </w:r>
      <w:proofErr w:type="spellEnd"/>
      <w:r w:rsidRPr="00B5200E">
        <w:rPr>
          <w:rFonts w:cs="EUAlbertina"/>
          <w:color w:val="000000"/>
        </w:rPr>
        <w:t xml:space="preserve"> i których zwierzęta mogą z powodzeniem uniknąć;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m) połączenie lub kumulacja poniższych przykładów mogą być zaklasyfikowane jako „łagodne”: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(i) ocena budowy ciała za pomocą nieinwazyjnych pomiarów i przy minimalnym unieruchomieniu;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(ii) monitorowanie elektrokardiograficzne za pomocą technik nieinwazyjnych przy minimalnym unieruchomieniu lub bez niego zwierząt, które przywykły do warunków badania;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(iii) stosowanie zewnętrznych urządzeń telemetrycznych, które nie wywierają niekorzystnego wpływu na zaadaptowane społecznie zwierzęta i nie zakłócają normalnej aktywności ani </w:t>
      </w:r>
      <w:proofErr w:type="spellStart"/>
      <w:r w:rsidRPr="00B5200E">
        <w:rPr>
          <w:rFonts w:cs="EUAlbertina"/>
          <w:color w:val="000000"/>
        </w:rPr>
        <w:t>zachowań</w:t>
      </w:r>
      <w:proofErr w:type="spellEnd"/>
      <w:r w:rsidRPr="00B5200E">
        <w:rPr>
          <w:rFonts w:cs="EUAlbertina"/>
          <w:color w:val="000000"/>
        </w:rPr>
        <w:t xml:space="preserve">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(iv) hodowla genetycznie zmienionych zwierząt, które, jak się oczekuje, nie będą miały wykrywalnego klinicznie niekorzystnego fenotypu;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(v) dodawanie obojętnych substancji znacznikowych do pokarmu, aby śledzić ruch treści pokarmowej;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(vi) odstawienie pokarmu na &lt; 24 h u dorosłych szczurów;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(vii) badanie w teście otwartego pola.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2. </w:t>
      </w:r>
      <w:r w:rsidRPr="00B5200E">
        <w:rPr>
          <w:rFonts w:cs="EUAlbertina"/>
          <w:b/>
          <w:color w:val="000000"/>
        </w:rPr>
        <w:t>Umiarkowane</w:t>
      </w:r>
      <w:r w:rsidRPr="00B5200E">
        <w:rPr>
          <w:rFonts w:cs="EUAlbertina"/>
          <w:color w:val="000000"/>
        </w:rPr>
        <w:t xml:space="preserve">: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a) częste podawanie testowanych substancji, które wywołują umiarkowane efekty kliniczne, oraz pobieranie próbek krwi (&gt; 10 % objętości krwiobiegu) u przytomnego zwierzęcia w ciągu kilku dni bez odtworzenia objętości;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>b) badania mające na celu ustalenie dawki ostrej, badania toksyczności przewlekłej/</w:t>
      </w:r>
      <w:proofErr w:type="spellStart"/>
      <w:r w:rsidRPr="00B5200E">
        <w:rPr>
          <w:rFonts w:cs="EUAlbertina"/>
          <w:color w:val="000000"/>
        </w:rPr>
        <w:t>karcynogenności</w:t>
      </w:r>
      <w:proofErr w:type="spellEnd"/>
      <w:r w:rsidRPr="00B5200E">
        <w:rPr>
          <w:rFonts w:cs="EUAlbertina"/>
          <w:color w:val="000000"/>
        </w:rPr>
        <w:t xml:space="preserve">, z punktami końcowymi nieprowadzącymi do śmierci;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c) zabiegi chirurgiczne w znieczuleniu ogólnym i z zastosowaniem odpowiednich środków przeciwbólowych, którym towarzyszy ból pooperacyjny, cierpienie lub ogólne pogorszenie stanu. Dla przykładu można podać: torakotomię, kraniotomię, laparotomię, </w:t>
      </w:r>
      <w:proofErr w:type="spellStart"/>
      <w:r w:rsidRPr="00B5200E">
        <w:rPr>
          <w:rFonts w:cs="EUAlbertina"/>
          <w:color w:val="000000"/>
        </w:rPr>
        <w:t>orchidektomię</w:t>
      </w:r>
      <w:proofErr w:type="spellEnd"/>
      <w:r w:rsidRPr="00B5200E">
        <w:rPr>
          <w:rFonts w:cs="EUAlbertina"/>
          <w:color w:val="000000"/>
        </w:rPr>
        <w:t xml:space="preserve">, </w:t>
      </w:r>
      <w:proofErr w:type="spellStart"/>
      <w:r w:rsidRPr="00B5200E">
        <w:rPr>
          <w:rFonts w:cs="EUAlbertina"/>
          <w:color w:val="000000"/>
        </w:rPr>
        <w:t>limfadenektomię</w:t>
      </w:r>
      <w:proofErr w:type="spellEnd"/>
      <w:r w:rsidRPr="00B5200E">
        <w:rPr>
          <w:rFonts w:cs="EUAlbertina"/>
          <w:color w:val="000000"/>
        </w:rPr>
        <w:t xml:space="preserve">, </w:t>
      </w:r>
      <w:proofErr w:type="spellStart"/>
      <w:r w:rsidRPr="00B5200E">
        <w:rPr>
          <w:rFonts w:cs="EUAlbertina"/>
          <w:color w:val="000000"/>
        </w:rPr>
        <w:t>tyroidektomię</w:t>
      </w:r>
      <w:proofErr w:type="spellEnd"/>
      <w:r w:rsidRPr="00B5200E">
        <w:rPr>
          <w:rFonts w:cs="EUAlbertina"/>
          <w:color w:val="000000"/>
        </w:rPr>
        <w:t xml:space="preserve">, zabiegi ortopedyczne ze skuteczną stabilizacją i pielęgnacją rany, przeszczep narządu ze skutecznym postępowaniem zapobiegającym odrzuceniu, chirurgiczne wszczepienie cewników lub urządzeń biomedycznych (np. nadajników telemetrycznych, </w:t>
      </w:r>
      <w:proofErr w:type="spellStart"/>
      <w:r w:rsidRPr="00B5200E">
        <w:rPr>
          <w:rFonts w:cs="EUAlbertina"/>
          <w:color w:val="000000"/>
        </w:rPr>
        <w:t>minipomp</w:t>
      </w:r>
      <w:proofErr w:type="spellEnd"/>
      <w:r w:rsidRPr="00B5200E">
        <w:rPr>
          <w:rFonts w:cs="EUAlbertina"/>
          <w:color w:val="000000"/>
        </w:rPr>
        <w:t xml:space="preserve"> itd.);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d) modele wywoływania nowotworów lub nowotwory samoistne, które zwykle mogą wywoływać umiarkowany ból lub </w:t>
      </w:r>
      <w:proofErr w:type="spellStart"/>
      <w:r w:rsidRPr="00B5200E">
        <w:rPr>
          <w:rFonts w:cs="EUAlbertina"/>
          <w:color w:val="000000"/>
        </w:rPr>
        <w:t>dystres</w:t>
      </w:r>
      <w:proofErr w:type="spellEnd"/>
      <w:r w:rsidRPr="00B5200E">
        <w:rPr>
          <w:rFonts w:cs="EUAlbertina"/>
          <w:color w:val="000000"/>
        </w:rPr>
        <w:t xml:space="preserve"> lub umiarkowane zakłócenie normalnego zachowania;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e) napromieniowanie lub chemioterapia z zastosowaniem dawki </w:t>
      </w:r>
      <w:proofErr w:type="spellStart"/>
      <w:r w:rsidRPr="00B5200E">
        <w:rPr>
          <w:rFonts w:cs="EUAlbertina"/>
          <w:color w:val="000000"/>
        </w:rPr>
        <w:t>subletalnej</w:t>
      </w:r>
      <w:proofErr w:type="spellEnd"/>
      <w:r w:rsidRPr="00B5200E">
        <w:rPr>
          <w:rFonts w:cs="EUAlbertina"/>
          <w:color w:val="000000"/>
        </w:rPr>
        <w:t xml:space="preserve"> lub dawki, która w innych okolicznościach byłaby śmiertelna, ale przy jednoczesnej </w:t>
      </w:r>
      <w:proofErr w:type="spellStart"/>
      <w:r w:rsidRPr="00B5200E">
        <w:rPr>
          <w:rFonts w:cs="EUAlbertina"/>
          <w:color w:val="000000"/>
        </w:rPr>
        <w:t>rekonstytucji</w:t>
      </w:r>
      <w:proofErr w:type="spellEnd"/>
      <w:r w:rsidRPr="00B5200E">
        <w:rPr>
          <w:rFonts w:cs="EUAlbertina"/>
          <w:color w:val="000000"/>
        </w:rPr>
        <w:t xml:space="preserve"> systemu immunologicznego. Oczekiwane działania niepożądane są łagodne lub umiarkowane i są krótkotrwałe (&lt; 5 dni);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f) hodowla genetycznie zmienionych zwierząt, która ma doprowadzić do powstania fenotypów o umiarkowanych efektach;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g) tworzenie genetycznie zmienionych zwierząt za pomocą procedur chirurgicznych;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h) stosowanie klatek metabolicznych powodujących umiarkowane ograniczenie ruchów w dłuższym okresie (do 5 dni);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lastRenderedPageBreak/>
        <w:t xml:space="preserve">i) badania z zastosowaniem zmodyfikowanej paszy, która nie zaspokaja wszystkich potrzeb żywieniowych zwierzęcia i prawdopodobnie spowoduje umiarkowaną anomalię kliniczną w czasie objętym badaniem;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j) odstawienie pokarmu na 48 godzin u dorosłych szczurów; </w:t>
      </w:r>
    </w:p>
    <w:p w:rsid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>k) wywoływanie reakcji ucieczki i unikania w sytuacji, kiedy zwierzę nie może uciec ani uniknąć bodźca, co prawdopodobnie doprowadzi do umiarkowanego dystresu.PL L 276/78 Dziennik Urzędowy Unii Europejskiej 20.10.2010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b/>
          <w:color w:val="000000"/>
        </w:rPr>
      </w:pPr>
      <w:r w:rsidRPr="00B5200E">
        <w:rPr>
          <w:rFonts w:cs="EUAlbertina"/>
          <w:color w:val="000000"/>
        </w:rPr>
        <w:t>3</w:t>
      </w:r>
      <w:r w:rsidRPr="00B5200E">
        <w:rPr>
          <w:rFonts w:cs="EUAlbertina"/>
          <w:b/>
          <w:color w:val="000000"/>
        </w:rPr>
        <w:t xml:space="preserve">. Dotkliwe </w:t>
      </w:r>
      <w:bookmarkStart w:id="0" w:name="_GoBack"/>
      <w:bookmarkEnd w:id="0"/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a) badania toksyczności, w których za punkt końcowy przyjmuje się śmierć lub oczekuje się, że wystąpią przypadki śmiertelne i dotkliwe stany patofizjologiczne. Na przykład badanie toksyczności ostrej metodą jednej dawki (zob. wytyczne OECD w sprawie badań);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b) badania urządzenia, którego niesprawność mogłaby spowodować dotkliwy ból, </w:t>
      </w:r>
      <w:proofErr w:type="spellStart"/>
      <w:r w:rsidRPr="00B5200E">
        <w:rPr>
          <w:rFonts w:cs="EUAlbertina"/>
          <w:color w:val="000000"/>
        </w:rPr>
        <w:t>dystres</w:t>
      </w:r>
      <w:proofErr w:type="spellEnd"/>
      <w:r w:rsidRPr="00B5200E">
        <w:rPr>
          <w:rFonts w:cs="EUAlbertina"/>
          <w:color w:val="000000"/>
        </w:rPr>
        <w:t xml:space="preserve"> lub śmierć zwierzęcia (np. urządzenia wspomagające pracę serca);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c) badanie mocy szczepionki charakteryzujące się długotrwałym pogorszeniem stanu zwierzęcia, postępującą chorobą prowadzącą do śmierci i związaną z długotrwałym umiarkowanym bólem, </w:t>
      </w:r>
      <w:proofErr w:type="spellStart"/>
      <w:r w:rsidRPr="00B5200E">
        <w:rPr>
          <w:rFonts w:cs="EUAlbertina"/>
          <w:color w:val="000000"/>
        </w:rPr>
        <w:t>dystresem</w:t>
      </w:r>
      <w:proofErr w:type="spellEnd"/>
      <w:r w:rsidRPr="00B5200E">
        <w:rPr>
          <w:rFonts w:cs="EUAlbertina"/>
          <w:color w:val="000000"/>
        </w:rPr>
        <w:t xml:space="preserve"> lub cierpieniem;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d) napromieniowanie lub chemioterapia z zastosowaniem dawki letalnej bez </w:t>
      </w:r>
      <w:proofErr w:type="spellStart"/>
      <w:r w:rsidRPr="00B5200E">
        <w:rPr>
          <w:rFonts w:cs="EUAlbertina"/>
          <w:color w:val="000000"/>
        </w:rPr>
        <w:t>rekonstytucji</w:t>
      </w:r>
      <w:proofErr w:type="spellEnd"/>
      <w:r w:rsidRPr="00B5200E">
        <w:rPr>
          <w:rFonts w:cs="EUAlbertina"/>
          <w:color w:val="000000"/>
        </w:rPr>
        <w:t xml:space="preserve"> systemu immunologicznego, lub </w:t>
      </w:r>
      <w:proofErr w:type="spellStart"/>
      <w:r w:rsidRPr="00B5200E">
        <w:rPr>
          <w:rFonts w:cs="EUAlbertina"/>
          <w:color w:val="000000"/>
        </w:rPr>
        <w:t>rekonstytucja</w:t>
      </w:r>
      <w:proofErr w:type="spellEnd"/>
      <w:r w:rsidRPr="00B5200E">
        <w:rPr>
          <w:rFonts w:cs="EUAlbertina"/>
          <w:color w:val="000000"/>
        </w:rPr>
        <w:t xml:space="preserve"> z wytworzeniem choroby typu „przeszczep przeciwko gospodarzowi”;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e) modele z wywołaniem nowotworów lub z nowotworami samoistnymi, które zwykle mogą wywoływać postępującą śmiertelną chorobę związaną z długotrwałym umiarkowanym bólem, </w:t>
      </w:r>
      <w:proofErr w:type="spellStart"/>
      <w:r w:rsidRPr="00B5200E">
        <w:rPr>
          <w:rFonts w:cs="EUAlbertina"/>
          <w:color w:val="000000"/>
        </w:rPr>
        <w:t>dystresem</w:t>
      </w:r>
      <w:proofErr w:type="spellEnd"/>
      <w:r w:rsidRPr="00B5200E">
        <w:rPr>
          <w:rFonts w:cs="EUAlbertina"/>
          <w:color w:val="000000"/>
        </w:rPr>
        <w:t xml:space="preserve"> lub cierpieniem. Na przykład nowotwory powodujące kacheksję, inwazyjne nowotwory kości, nowotwory powodujące przerzuty i nowotwory, którym pozwolono przekształcić się we wrzód;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f) interwencje chirurgiczne i inne interwencje u zwierząt w znieczuleniu ogólnym, które mogą skutkować znacznym lub uporczywym bólem pooperacyjnym, cierpieniem lub </w:t>
      </w:r>
      <w:proofErr w:type="spellStart"/>
      <w:r w:rsidRPr="00B5200E">
        <w:rPr>
          <w:rFonts w:cs="EUAlbertina"/>
          <w:color w:val="000000"/>
        </w:rPr>
        <w:t>dystresem</w:t>
      </w:r>
      <w:proofErr w:type="spellEnd"/>
      <w:r w:rsidRPr="00B5200E">
        <w:rPr>
          <w:rFonts w:cs="EUAlbertina"/>
          <w:color w:val="000000"/>
        </w:rPr>
        <w:t xml:space="preserve"> lub znacznym i długotrwałym pogorszeniem ogólnego stanu zwierząt. Wywoływanie niestabilnych złamań, torakotomia bez odpowiedniego zniesienia czucia bólu lub uraz mający na celu wywołanie niewydolności wielonarządowej;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g) przeszczep narządu w sytuacji, gdy jego odrzucenie prawdopodobnie spowoduje znaczny </w:t>
      </w:r>
      <w:proofErr w:type="spellStart"/>
      <w:r w:rsidRPr="00B5200E">
        <w:rPr>
          <w:rFonts w:cs="EUAlbertina"/>
          <w:color w:val="000000"/>
        </w:rPr>
        <w:t>dystres</w:t>
      </w:r>
      <w:proofErr w:type="spellEnd"/>
      <w:r w:rsidRPr="00B5200E">
        <w:rPr>
          <w:rFonts w:cs="EUAlbertina"/>
          <w:color w:val="000000"/>
        </w:rPr>
        <w:t xml:space="preserve"> lub pogorszenie ogólnego stanu zwierząt (np. ksenotransplantacja);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h) hodowla zwierząt z zaburzeniami genetycznymi, które prawdopodobnie prowadzą do dotkliwego i długotrwałego pogorszenia ogólnego stanu, np. choroba Huntingtona, dystrofia mięśniowa, postaci przewlekłego nawrotowego zapalenia nerwów;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i) stosowanie klatek metabolicznych z dotkliwym ograniczeniem ruchów przez dłuższy czas;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j) niedający się uniknąć wstrząs elektryczny (np. w celu wywołania wyuczonej bezradności);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k) całkowita izolacja, przez dłuższe okresy, osobników z gatunków społecznych np. psów i naczelnych innych niż człowiek; </w:t>
      </w:r>
    </w:p>
    <w:p w:rsidR="00B5200E" w:rsidRPr="00B5200E" w:rsidRDefault="00B5200E" w:rsidP="00B5200E">
      <w:pPr>
        <w:pStyle w:val="CM4"/>
        <w:spacing w:before="60" w:after="60"/>
        <w:rPr>
          <w:rFonts w:cs="EUAlbertina"/>
          <w:color w:val="000000"/>
        </w:rPr>
      </w:pPr>
      <w:r w:rsidRPr="00B5200E">
        <w:rPr>
          <w:rFonts w:cs="EUAlbertina"/>
          <w:color w:val="000000"/>
        </w:rPr>
        <w:t xml:space="preserve">l) stres spowodowany unieruchomieniem, aby wywołać wrzody żołądka lub niewydolność serca u szczurów; </w:t>
      </w:r>
    </w:p>
    <w:p w:rsidR="003D149A" w:rsidRPr="00B5200E" w:rsidRDefault="00B5200E" w:rsidP="00B5200E">
      <w:r w:rsidRPr="00B5200E">
        <w:rPr>
          <w:rFonts w:cs="EUAlbertina"/>
          <w:color w:val="000000"/>
        </w:rPr>
        <w:t>m) badania wymuszające pływanie lub ruch, przyjmujące wyczerpanie za punkt końcowy.PL 20.10.2010 Dziennik Urzędowy Unii Europejskiej L 276/</w:t>
      </w:r>
    </w:p>
    <w:sectPr w:rsidR="003D149A" w:rsidRPr="00B52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0E"/>
    <w:rsid w:val="003D149A"/>
    <w:rsid w:val="00B5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4">
    <w:name w:val="CM4"/>
    <w:basedOn w:val="Normalny"/>
    <w:next w:val="Normalny"/>
    <w:uiPriority w:val="99"/>
    <w:rsid w:val="00B5200E"/>
    <w:pPr>
      <w:autoSpaceDE w:val="0"/>
      <w:autoSpaceDN w:val="0"/>
      <w:adjustRightInd w:val="0"/>
    </w:pPr>
    <w:rPr>
      <w:rFonts w:ascii="EUAlbertina" w:hAnsi="EUAlberti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4">
    <w:name w:val="CM4"/>
    <w:basedOn w:val="Normalny"/>
    <w:next w:val="Normalny"/>
    <w:uiPriority w:val="99"/>
    <w:rsid w:val="00B5200E"/>
    <w:pPr>
      <w:autoSpaceDE w:val="0"/>
      <w:autoSpaceDN w:val="0"/>
      <w:adjustRightInd w:val="0"/>
    </w:pPr>
    <w:rPr>
      <w:rFonts w:ascii="EUAlbertina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1588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1</cp:revision>
  <dcterms:created xsi:type="dcterms:W3CDTF">2015-08-28T11:35:00Z</dcterms:created>
  <dcterms:modified xsi:type="dcterms:W3CDTF">2015-08-28T11:38:00Z</dcterms:modified>
</cp:coreProperties>
</file>