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6" w:rsidRDefault="006C44B6">
      <w:pPr>
        <w:jc w:val="center"/>
        <w:rPr>
          <w:sz w:val="23"/>
          <w:szCs w:val="23"/>
        </w:rPr>
      </w:pPr>
    </w:p>
    <w:p w:rsidR="006C44B6" w:rsidRPr="007C3FD3" w:rsidRDefault="006C44B6">
      <w:pPr>
        <w:jc w:val="center"/>
        <w:rPr>
          <w:b/>
          <w:sz w:val="28"/>
          <w:szCs w:val="28"/>
        </w:rPr>
      </w:pPr>
      <w:r w:rsidRPr="007C3FD3">
        <w:rPr>
          <w:b/>
          <w:sz w:val="28"/>
          <w:szCs w:val="28"/>
        </w:rPr>
        <w:t>Izoenzymy N-acetylo-</w:t>
      </w:r>
      <w:r w:rsidRPr="007C3FD3">
        <w:rPr>
          <w:b/>
          <w:sz w:val="28"/>
          <w:szCs w:val="28"/>
        </w:rPr>
        <w:sym w:font="Symbol" w:char="F062"/>
      </w:r>
      <w:r w:rsidRPr="007C3FD3">
        <w:rPr>
          <w:b/>
          <w:sz w:val="28"/>
          <w:szCs w:val="28"/>
        </w:rPr>
        <w:t>-heksozoaminidazy</w:t>
      </w:r>
    </w:p>
    <w:p w:rsidR="006C44B6" w:rsidRPr="007C3FD3" w:rsidRDefault="006C44B6">
      <w:pPr>
        <w:jc w:val="both"/>
        <w:rPr>
          <w:b/>
          <w:sz w:val="28"/>
          <w:szCs w:val="28"/>
        </w:rPr>
      </w:pPr>
    </w:p>
    <w:p w:rsidR="006C44B6" w:rsidRDefault="006C44B6">
      <w:pPr>
        <w:pStyle w:val="Nagwek1"/>
        <w:jc w:val="both"/>
        <w:rPr>
          <w:b/>
          <w:i/>
          <w:sz w:val="23"/>
          <w:szCs w:val="31"/>
        </w:rPr>
      </w:pPr>
    </w:p>
    <w:p w:rsidR="006C44B6" w:rsidRDefault="006C44B6">
      <w:pPr>
        <w:rPr>
          <w:sz w:val="23"/>
        </w:rPr>
      </w:pPr>
    </w:p>
    <w:p w:rsidR="006C44B6" w:rsidRDefault="006C44B6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N-acetylo-β-D-heksozoaminidaza (HEX) (E.C.3.2.1.52) jest kwaśną egzoglikozydazą lizosomalną odszczepiającą reszty N-acetyloglukozoaminy (GlcNAc) lub N-acetylogalaktozoaminy (GalNAc) z nieredukującego końca łańcuchów oligosacharydowych glikokoniugatów. HEX jest glikoproteiną zbudowaną z łańcuchów polipeptydowych α i β. Łańcuchy te występują parami, w trzech możliwych kombinacjach. Wyróżnia się, zatem trzy izoenzymy HEX: izoenzym A-αβ, izoenzym B-ββ oraz izoenzym S-αα. U człowieka geny kodujące syntezę N-acetylo-β–heskozoaminidazy są zlokalizowane na dwóch różnych parach chromosomów-łańcuch α na chromosomie 15 pary a łańcuch β na chromosomie 5 pary.</w:t>
      </w:r>
    </w:p>
    <w:p w:rsidR="006C44B6" w:rsidRDefault="006C44B6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Masa molowa izoenzym A waha się w granicach 96-110 kD. Jest on umiarkowanie wrażliwy na ogrzewanie i ulega inaktywacji po trzygodzinnym ogrzewaniu w 50</w:t>
      </w:r>
      <w:r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>C w pH 5,0 lub przez pięć minut w 60</w:t>
      </w:r>
      <w:r>
        <w:rPr>
          <w:sz w:val="23"/>
          <w:szCs w:val="23"/>
          <w:vertAlign w:val="superscript"/>
        </w:rPr>
        <w:t xml:space="preserve">o </w:t>
      </w:r>
      <w:r>
        <w:rPr>
          <w:sz w:val="23"/>
          <w:szCs w:val="23"/>
        </w:rPr>
        <w:t>oraz podczas inkubacji w 37</w:t>
      </w:r>
      <w:r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 xml:space="preserve">w pH 2,8 przez 5 minut. HEX A przeważa w surowicy krwi, moczu, płynie stawowym. </w:t>
      </w:r>
    </w:p>
    <w:p w:rsidR="006C44B6" w:rsidRDefault="006C44B6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Izoenzym B o masie molowej 110-112 kD jest termostabilny. Występuje w największych ilościach w wątrobie łożysku i nerkach. </w:t>
      </w:r>
    </w:p>
    <w:p w:rsidR="006C44B6" w:rsidRDefault="006C44B6">
      <w:pPr>
        <w:jc w:val="both"/>
        <w:rPr>
          <w:sz w:val="23"/>
          <w:szCs w:val="23"/>
        </w:rPr>
      </w:pPr>
      <w:r>
        <w:rPr>
          <w:sz w:val="23"/>
          <w:szCs w:val="23"/>
        </w:rPr>
        <w:t>Wrażliwość obu form na temperaturę jest przydatna w ich różnicowaniu. Inkubacja przez 5 minut w 60</w:t>
      </w:r>
      <w:r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>C a także w 37</w:t>
      </w:r>
      <w:r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>C w pH 2,8 inaktywuje tylko izoenzym A, nie wpływając na aktywność pozostałych form.</w:t>
      </w:r>
    </w:p>
    <w:p w:rsidR="006C44B6" w:rsidRDefault="006C44B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Aktywność HEX stwierdzono: nerce, wątrobie, błonie śluzowej żołądka i jelit, łożysku. W naturalnych oligosacharydach HEX hydrolizuje wiązania β-glikozydowe N-acetyloheksozoamin z innymi cukrami. Enzym ten również działa na drobnocząsteczkowe sztuczne substraty, takie jak pochodne p-nitrofenolu i metyloumbelliferonu. </w:t>
      </w:r>
    </w:p>
    <w:p w:rsidR="006C44B6" w:rsidRDefault="006C44B6">
      <w:pPr>
        <w:jc w:val="both"/>
        <w:rPr>
          <w:sz w:val="23"/>
          <w:szCs w:val="23"/>
        </w:rPr>
      </w:pPr>
    </w:p>
    <w:p w:rsidR="006C44B6" w:rsidRDefault="006C44B6">
      <w:pPr>
        <w:pStyle w:val="Nagwek3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Zasada metody </w:t>
      </w:r>
    </w:p>
    <w:p w:rsidR="006C44B6" w:rsidRDefault="006C44B6">
      <w:pPr>
        <w:rPr>
          <w:sz w:val="23"/>
        </w:rPr>
      </w:pPr>
    </w:p>
    <w:p w:rsidR="006C44B6" w:rsidRDefault="006C44B6">
      <w:pPr>
        <w:ind w:firstLine="360"/>
        <w:jc w:val="both"/>
        <w:rPr>
          <w:iCs/>
          <w:sz w:val="23"/>
          <w:szCs w:val="23"/>
        </w:rPr>
      </w:pPr>
      <w:r>
        <w:rPr>
          <w:sz w:val="23"/>
          <w:szCs w:val="23"/>
        </w:rPr>
        <w:t xml:space="preserve">N-acetylo-β-D–heskozoaminidaza katalizuje hydrolizę wiązania β -glikozydowego pomiędzy N-acetyloglukozoaminą a 4-metyloumbeliferonem. Uwolniony 4- metyloumbeliferon fluoryzuje w środowisku zasadowym po naświetleniu lampą </w:t>
      </w:r>
      <w:r>
        <w:rPr>
          <w:i/>
          <w:sz w:val="23"/>
          <w:szCs w:val="23"/>
        </w:rPr>
        <w:t xml:space="preserve">UV  </w:t>
      </w:r>
      <w:r>
        <w:rPr>
          <w:iCs/>
          <w:sz w:val="23"/>
          <w:szCs w:val="23"/>
        </w:rPr>
        <w:t>Ryc.1</w:t>
      </w:r>
    </w:p>
    <w:p w:rsidR="006C44B6" w:rsidRDefault="006C44B6">
      <w:pPr>
        <w:jc w:val="both"/>
        <w:rPr>
          <w:sz w:val="23"/>
          <w:szCs w:val="23"/>
        </w:rPr>
      </w:pPr>
    </w:p>
    <w:p w:rsidR="006C44B6" w:rsidRDefault="006C44B6">
      <w:pPr>
        <w:jc w:val="both"/>
        <w:rPr>
          <w:sz w:val="23"/>
          <w:szCs w:val="23"/>
        </w:rPr>
      </w:pPr>
    </w:p>
    <w:p w:rsidR="006C44B6" w:rsidRDefault="00EF73A0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962400" cy="2009775"/>
            <wp:effectExtent l="19050" t="0" r="0" b="0"/>
            <wp:docPr id="1" name="Obraz 1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B6" w:rsidRDefault="006C44B6">
      <w:pPr>
        <w:rPr>
          <w:sz w:val="23"/>
          <w:szCs w:val="23"/>
        </w:rPr>
      </w:pPr>
    </w:p>
    <w:p w:rsidR="006C44B6" w:rsidRDefault="006C44B6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Ryc.1</w:t>
      </w:r>
      <w:r>
        <w:rPr>
          <w:sz w:val="23"/>
          <w:szCs w:val="23"/>
        </w:rPr>
        <w:t xml:space="preserve"> Hydroliza 4-umbelliferylo-N-acetylo-β-glukozoamidu przez N-acetylo-β–heksozoaminidazę</w:t>
      </w:r>
    </w:p>
    <w:p w:rsidR="006C44B6" w:rsidRDefault="006C44B6">
      <w:pPr>
        <w:jc w:val="both"/>
        <w:rPr>
          <w:sz w:val="23"/>
          <w:szCs w:val="23"/>
        </w:rPr>
      </w:pPr>
    </w:p>
    <w:p w:rsidR="006C44B6" w:rsidRDefault="006C44B6">
      <w:pPr>
        <w:pStyle w:val="Nagwek4"/>
        <w:rPr>
          <w:i w:val="0"/>
          <w:iCs w:val="0"/>
          <w:sz w:val="23"/>
        </w:rPr>
      </w:pPr>
      <w:r>
        <w:rPr>
          <w:i w:val="0"/>
          <w:iCs w:val="0"/>
          <w:sz w:val="23"/>
        </w:rPr>
        <w:t>Zagadnienia do przygotowania</w:t>
      </w:r>
    </w:p>
    <w:p w:rsidR="006C44B6" w:rsidRDefault="006C44B6">
      <w:pPr>
        <w:rPr>
          <w:sz w:val="23"/>
        </w:rPr>
      </w:pPr>
    </w:p>
    <w:p w:rsidR="006C44B6" w:rsidRDefault="006C44B6">
      <w:pPr>
        <w:numPr>
          <w:ilvl w:val="0"/>
          <w:numId w:val="21"/>
        </w:numPr>
        <w:rPr>
          <w:sz w:val="23"/>
        </w:rPr>
      </w:pPr>
      <w:r>
        <w:rPr>
          <w:sz w:val="23"/>
        </w:rPr>
        <w:t>Definicja i znaczenie biologiczne izoenzymów</w:t>
      </w:r>
    </w:p>
    <w:p w:rsidR="006C44B6" w:rsidRDefault="006C44B6">
      <w:pPr>
        <w:numPr>
          <w:ilvl w:val="0"/>
          <w:numId w:val="21"/>
        </w:numPr>
        <w:rPr>
          <w:sz w:val="23"/>
        </w:rPr>
      </w:pPr>
      <w:r>
        <w:rPr>
          <w:sz w:val="23"/>
        </w:rPr>
        <w:t xml:space="preserve">Budowa </w:t>
      </w:r>
      <w:r>
        <w:rPr>
          <w:sz w:val="23"/>
          <w:szCs w:val="23"/>
        </w:rPr>
        <w:t>N-acetylo-β–heksozoaminidazy</w:t>
      </w:r>
    </w:p>
    <w:p w:rsidR="006C44B6" w:rsidRDefault="006C44B6">
      <w:pPr>
        <w:numPr>
          <w:ilvl w:val="0"/>
          <w:numId w:val="21"/>
        </w:numPr>
        <w:rPr>
          <w:sz w:val="23"/>
        </w:rPr>
      </w:pPr>
      <w:r>
        <w:rPr>
          <w:sz w:val="23"/>
          <w:szCs w:val="23"/>
        </w:rPr>
        <w:t>Metody wykrywania i oznaczania izoenzymów N-acetylo-β–heksozoaminidazy</w:t>
      </w:r>
    </w:p>
    <w:p w:rsidR="006C44B6" w:rsidRDefault="006C44B6">
      <w:pPr>
        <w:rPr>
          <w:sz w:val="23"/>
        </w:rPr>
      </w:pPr>
      <w:r>
        <w:rPr>
          <w:sz w:val="23"/>
        </w:rPr>
        <w:br w:type="page"/>
      </w:r>
    </w:p>
    <w:p w:rsidR="006C44B6" w:rsidRDefault="006C44B6">
      <w:pPr>
        <w:pStyle w:val="Nagwek4"/>
        <w:rPr>
          <w:i w:val="0"/>
          <w:iCs w:val="0"/>
          <w:sz w:val="23"/>
        </w:rPr>
      </w:pPr>
      <w:r>
        <w:rPr>
          <w:i w:val="0"/>
          <w:iCs w:val="0"/>
          <w:sz w:val="23"/>
        </w:rPr>
        <w:t>Materiał i odczynniki</w:t>
      </w:r>
    </w:p>
    <w:p w:rsidR="006C44B6" w:rsidRDefault="006C44B6">
      <w:pPr>
        <w:rPr>
          <w:sz w:val="23"/>
        </w:rPr>
      </w:pPr>
    </w:p>
    <w:p w:rsidR="006C44B6" w:rsidRDefault="006C44B6">
      <w:pPr>
        <w:numPr>
          <w:ilvl w:val="0"/>
          <w:numId w:val="10"/>
        </w:numPr>
        <w:rPr>
          <w:sz w:val="23"/>
        </w:rPr>
      </w:pPr>
      <w:r>
        <w:rPr>
          <w:sz w:val="23"/>
        </w:rPr>
        <w:t>tkanka (nerka, wątroba)</w:t>
      </w:r>
    </w:p>
    <w:p w:rsidR="006C44B6" w:rsidRDefault="006C44B6">
      <w:pPr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bufor elektrodowy ( 50mM bufor fosforanowy o pH 6,0 );</w:t>
      </w:r>
    </w:p>
    <w:p w:rsidR="006C44B6" w:rsidRDefault="006C44B6">
      <w:pPr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bufor fosforanowo-cytrynianowy wg Mc Ilvaine o pH 2,5;</w:t>
      </w:r>
    </w:p>
    <w:p w:rsidR="006C44B6" w:rsidRDefault="006C44B6">
      <w:pPr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bufor fosforanowo-cytrynianowy wg Mc Ilvaine o pH 5,0;</w:t>
      </w:r>
    </w:p>
    <w:p w:rsidR="006C44B6" w:rsidRDefault="006C44B6">
      <w:pPr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bufor fosforanowo-cytrynianowy wg Mc Ilvaine o pH 5,5;</w:t>
      </w:r>
    </w:p>
    <w:p w:rsidR="006C44B6" w:rsidRDefault="006C44B6">
      <w:pPr>
        <w:pStyle w:val="Tekstpodstawowy3"/>
        <w:numPr>
          <w:ilvl w:val="0"/>
          <w:numId w:val="10"/>
        </w:numPr>
      </w:pPr>
      <w:r>
        <w:t>substrat I (0,02% roztwór 4-metylo-umbelliferylo-N-acetylo-</w:t>
      </w:r>
      <w:r>
        <w:sym w:font="Symbol" w:char="F062"/>
      </w:r>
      <w:r>
        <w:t>-glukozaminidu w buforze fosforanowo-cytrynianowym wg Mc Ilvaine o pH 4,0 );</w:t>
      </w:r>
    </w:p>
    <w:p w:rsidR="006C44B6" w:rsidRDefault="006C44B6">
      <w:pPr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30% metanol;</w:t>
      </w:r>
    </w:p>
    <w:p w:rsidR="006C44B6" w:rsidRDefault="006C44B6">
      <w:pPr>
        <w:pStyle w:val="Tekstpodstawowy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substrat II (p-nitrofenylo-2-acetamido-2-deoksy-β-D-glukopiranozyd  w buforze fosforanowo-cytrynianowym wg Mc Ilvaine o pH 4,7;</w:t>
      </w:r>
    </w:p>
    <w:p w:rsidR="006C44B6" w:rsidRDefault="006C44B6">
      <w:pPr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bufor fosforanowo-cytrynianowy wg Mc Ilvaine o pH 4,7;</w:t>
      </w:r>
    </w:p>
    <w:p w:rsidR="006C44B6" w:rsidRDefault="006C44B6">
      <w:pPr>
        <w:numPr>
          <w:ilvl w:val="0"/>
          <w:numId w:val="10"/>
        </w:numPr>
        <w:jc w:val="both"/>
        <w:rPr>
          <w:sz w:val="23"/>
        </w:rPr>
      </w:pPr>
      <w:r>
        <w:rPr>
          <w:sz w:val="23"/>
        </w:rPr>
        <w:t>200 mM bufor boranowy o pH 9,8.</w:t>
      </w:r>
    </w:p>
    <w:p w:rsidR="006C44B6" w:rsidRDefault="006C44B6">
      <w:pPr>
        <w:jc w:val="both"/>
        <w:rPr>
          <w:sz w:val="23"/>
        </w:rPr>
      </w:pPr>
    </w:p>
    <w:p w:rsidR="006C44B6" w:rsidRPr="00260538" w:rsidRDefault="006C44B6" w:rsidP="00260538">
      <w:pPr>
        <w:pStyle w:val="Nagwek4"/>
        <w:rPr>
          <w:b w:val="0"/>
          <w:i w:val="0"/>
          <w:sz w:val="23"/>
          <w:szCs w:val="23"/>
        </w:rPr>
      </w:pPr>
      <w:r w:rsidRPr="00260538">
        <w:rPr>
          <w:iCs w:val="0"/>
          <w:sz w:val="23"/>
        </w:rPr>
        <w:t>Cel ćwiczenia</w:t>
      </w:r>
      <w:r w:rsidR="00260538">
        <w:rPr>
          <w:iCs w:val="0"/>
          <w:sz w:val="23"/>
        </w:rPr>
        <w:t xml:space="preserve">  </w:t>
      </w:r>
      <w:r w:rsidRPr="00260538">
        <w:rPr>
          <w:b w:val="0"/>
          <w:i w:val="0"/>
          <w:sz w:val="23"/>
          <w:szCs w:val="23"/>
        </w:rPr>
        <w:t>Rozdział izoenzymów N-acetylo-</w:t>
      </w:r>
      <w:r w:rsidRPr="00260538">
        <w:rPr>
          <w:b w:val="0"/>
          <w:i w:val="0"/>
          <w:sz w:val="23"/>
          <w:szCs w:val="23"/>
        </w:rPr>
        <w:sym w:font="Symbol" w:char="F062"/>
      </w:r>
      <w:r w:rsidRPr="00260538">
        <w:rPr>
          <w:b w:val="0"/>
          <w:i w:val="0"/>
          <w:sz w:val="23"/>
          <w:szCs w:val="23"/>
        </w:rPr>
        <w:t>-heksozoaminidazy A i B na octanie celulozy.</w:t>
      </w:r>
    </w:p>
    <w:p w:rsidR="006C44B6" w:rsidRPr="00260538" w:rsidRDefault="006C44B6" w:rsidP="00260538">
      <w:pPr>
        <w:ind w:left="1418"/>
        <w:jc w:val="both"/>
        <w:rPr>
          <w:sz w:val="23"/>
          <w:szCs w:val="23"/>
        </w:rPr>
      </w:pPr>
      <w:r w:rsidRPr="00260538">
        <w:rPr>
          <w:sz w:val="23"/>
          <w:szCs w:val="23"/>
        </w:rPr>
        <w:t>Wykazanie wpływu podwyższonej temperatury i obniżenia pH na stabilność izoenzymów N-acetylo-</w:t>
      </w:r>
      <w:r w:rsidRPr="00260538">
        <w:rPr>
          <w:sz w:val="23"/>
          <w:szCs w:val="23"/>
        </w:rPr>
        <w:sym w:font="Symbol" w:char="F062"/>
      </w:r>
      <w:r w:rsidRPr="00260538">
        <w:rPr>
          <w:sz w:val="23"/>
          <w:szCs w:val="23"/>
        </w:rPr>
        <w:t>-heksozoaminidazy A i B.</w:t>
      </w:r>
    </w:p>
    <w:p w:rsidR="006C44B6" w:rsidRPr="00260538" w:rsidRDefault="006C44B6">
      <w:pPr>
        <w:jc w:val="both"/>
        <w:rPr>
          <w:sz w:val="23"/>
          <w:szCs w:val="27"/>
        </w:rPr>
      </w:pPr>
    </w:p>
    <w:p w:rsidR="006C44B6" w:rsidRPr="00260538" w:rsidRDefault="006C44B6">
      <w:pPr>
        <w:pStyle w:val="Nagwek2"/>
        <w:jc w:val="left"/>
        <w:rPr>
          <w:b/>
          <w:i/>
          <w:iCs/>
          <w:szCs w:val="28"/>
        </w:rPr>
      </w:pPr>
      <w:r w:rsidRPr="00260538">
        <w:rPr>
          <w:b/>
          <w:i/>
          <w:iCs/>
          <w:szCs w:val="28"/>
        </w:rPr>
        <w:t>Wykonanie</w:t>
      </w:r>
    </w:p>
    <w:p w:rsidR="006C44B6" w:rsidRDefault="006C44B6">
      <w:pPr>
        <w:pStyle w:val="Tekstpodstawowywcity"/>
        <w:ind w:left="0"/>
        <w:rPr>
          <w:sz w:val="23"/>
          <w:szCs w:val="23"/>
        </w:rPr>
      </w:pPr>
    </w:p>
    <w:p w:rsidR="006C44B6" w:rsidRDefault="006C44B6">
      <w:pPr>
        <w:rPr>
          <w:sz w:val="23"/>
          <w:szCs w:val="27"/>
          <w:u w:val="single"/>
        </w:rPr>
      </w:pPr>
      <w:r>
        <w:rPr>
          <w:sz w:val="23"/>
          <w:szCs w:val="27"/>
          <w:u w:val="single"/>
        </w:rPr>
        <w:t>1. Przygotowanie homogenatów tkankowych do rozdziału elektroforetycznego</w:t>
      </w:r>
    </w:p>
    <w:p w:rsidR="006C44B6" w:rsidRDefault="006C44B6">
      <w:pPr>
        <w:jc w:val="both"/>
        <w:rPr>
          <w:sz w:val="23"/>
          <w:szCs w:val="27"/>
          <w:u w:val="single"/>
        </w:rPr>
      </w:pPr>
    </w:p>
    <w:p w:rsidR="006C44B6" w:rsidRDefault="006C44B6">
      <w:pPr>
        <w:rPr>
          <w:bCs/>
          <w:sz w:val="23"/>
          <w:szCs w:val="25"/>
        </w:rPr>
      </w:pPr>
      <w:r>
        <w:rPr>
          <w:bCs/>
          <w:sz w:val="23"/>
          <w:szCs w:val="25"/>
        </w:rPr>
        <w:t>1.1 Przygotowanie homogenatów w buforze fosforanowo-cytrynianowym o pH 5,5:</w:t>
      </w:r>
    </w:p>
    <w:p w:rsidR="006C44B6" w:rsidRDefault="006C44B6">
      <w:pPr>
        <w:jc w:val="both"/>
        <w:rPr>
          <w:bCs/>
          <w:sz w:val="23"/>
          <w:szCs w:val="25"/>
        </w:rPr>
      </w:pPr>
    </w:p>
    <w:p w:rsidR="006C44B6" w:rsidRDefault="006C44B6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Odważyć 500 mg tkanki, np. (nerki lub wątroby)</w:t>
      </w:r>
    </w:p>
    <w:p w:rsidR="006C44B6" w:rsidRDefault="006C44B6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Dodać 4,5 ml buforu fosforanowo-cytrynianowego wg Mc Ilvaine o pH 5,5. </w:t>
      </w:r>
    </w:p>
    <w:p w:rsidR="006C44B6" w:rsidRDefault="006C44B6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Tkankę zhomogenizować homogenizatorem nożowym przez 2 minuty. </w:t>
      </w:r>
    </w:p>
    <w:p w:rsidR="006C44B6" w:rsidRDefault="006C44B6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Homogenat odwirować przy 10.000 x </w:t>
      </w:r>
      <w:r>
        <w:rPr>
          <w:i/>
          <w:iCs/>
          <w:sz w:val="23"/>
          <w:szCs w:val="23"/>
        </w:rPr>
        <w:t>g</w:t>
      </w:r>
      <w:r>
        <w:rPr>
          <w:sz w:val="23"/>
          <w:szCs w:val="23"/>
        </w:rPr>
        <w:t xml:space="preserve"> w ciągu 20 minut (12.000 obrotów/minutę, wirówka MPW 365) </w:t>
      </w:r>
    </w:p>
    <w:p w:rsidR="006C44B6" w:rsidRDefault="006C44B6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Płyn nadosadowy zachować do rozdziału elektroforetycznego.</w:t>
      </w:r>
    </w:p>
    <w:p w:rsidR="006C44B6" w:rsidRDefault="006C44B6">
      <w:pPr>
        <w:jc w:val="both"/>
        <w:rPr>
          <w:sz w:val="23"/>
          <w:szCs w:val="23"/>
        </w:rPr>
      </w:pPr>
    </w:p>
    <w:p w:rsidR="006C44B6" w:rsidRDefault="006C44B6">
      <w:pPr>
        <w:rPr>
          <w:bCs/>
          <w:sz w:val="23"/>
          <w:szCs w:val="25"/>
        </w:rPr>
      </w:pPr>
      <w:r>
        <w:rPr>
          <w:bCs/>
          <w:sz w:val="23"/>
          <w:szCs w:val="25"/>
        </w:rPr>
        <w:t>1.2 Przygotowanie homogenatów w buforze fosforanowo-cytrynianowym o pH 5,0:</w:t>
      </w:r>
    </w:p>
    <w:p w:rsidR="006C44B6" w:rsidRDefault="006C44B6">
      <w:pPr>
        <w:jc w:val="both"/>
        <w:rPr>
          <w:bCs/>
          <w:sz w:val="23"/>
          <w:szCs w:val="25"/>
        </w:rPr>
      </w:pPr>
    </w:p>
    <w:p w:rsidR="006C44B6" w:rsidRDefault="006C44B6">
      <w:pPr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Odważyć 500 mg tkanki np. (nerki lub wątroby</w:t>
      </w:r>
    </w:p>
    <w:p w:rsidR="006C44B6" w:rsidRDefault="006C44B6">
      <w:pPr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Dodać 4,5 ml buforu fosforanowo-cytrynianowego wg Mc Ilvaine o pH 5,0. </w:t>
      </w:r>
    </w:p>
    <w:p w:rsidR="006C44B6" w:rsidRDefault="006C44B6">
      <w:pPr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Tkankę zhomogenizować homogenizatorem nożowym przez 2 minuty.</w:t>
      </w:r>
    </w:p>
    <w:p w:rsidR="006C44B6" w:rsidRDefault="006C44B6">
      <w:pPr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Homogenat odwirować przy 10.000 x </w:t>
      </w:r>
      <w:r>
        <w:rPr>
          <w:i/>
          <w:iCs/>
          <w:sz w:val="23"/>
          <w:szCs w:val="23"/>
        </w:rPr>
        <w:t>g</w:t>
      </w:r>
      <w:r>
        <w:rPr>
          <w:sz w:val="23"/>
          <w:szCs w:val="23"/>
        </w:rPr>
        <w:t xml:space="preserve"> przez 20 minut (12.000 obrotów/minutę, wirówka MPW 365 )</w:t>
      </w:r>
    </w:p>
    <w:p w:rsidR="006C44B6" w:rsidRDefault="006C44B6">
      <w:pPr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Płyn nadosadowy preinkubować w łaźni o temperaturze 60</w:t>
      </w:r>
      <w:r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>C przez 20 minut.</w:t>
      </w:r>
    </w:p>
    <w:p w:rsidR="006C44B6" w:rsidRDefault="006C44B6">
      <w:pPr>
        <w:jc w:val="both"/>
        <w:rPr>
          <w:sz w:val="23"/>
          <w:szCs w:val="23"/>
        </w:rPr>
      </w:pPr>
    </w:p>
    <w:p w:rsidR="006C44B6" w:rsidRDefault="006C44B6">
      <w:pPr>
        <w:rPr>
          <w:bCs/>
          <w:sz w:val="23"/>
          <w:szCs w:val="25"/>
        </w:rPr>
      </w:pPr>
      <w:r>
        <w:rPr>
          <w:bCs/>
          <w:sz w:val="23"/>
          <w:szCs w:val="25"/>
        </w:rPr>
        <w:t>1.3 Przygotowanie homogenatów w buforze fosforanowo-cytrynianowym o pH 2,5:</w:t>
      </w:r>
    </w:p>
    <w:p w:rsidR="006C44B6" w:rsidRDefault="006C44B6">
      <w:pPr>
        <w:jc w:val="both"/>
        <w:rPr>
          <w:b/>
          <w:bCs/>
          <w:sz w:val="23"/>
          <w:szCs w:val="25"/>
        </w:rPr>
      </w:pPr>
    </w:p>
    <w:p w:rsidR="006C44B6" w:rsidRDefault="006C44B6">
      <w:pPr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Odważyć 500 mg tkanki np. (nerki lub wątroby)</w:t>
      </w:r>
    </w:p>
    <w:p w:rsidR="006C44B6" w:rsidRDefault="006C44B6">
      <w:pPr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Dodać 4,5 ml buforu fosforanowo-cytrynianowego wg Mc Ilvaine o pH 2,5.</w:t>
      </w:r>
    </w:p>
    <w:p w:rsidR="006C44B6" w:rsidRDefault="006C44B6">
      <w:pPr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Tkankę zhomogenizować homogenizatorem nożowym przez 2 minuty.</w:t>
      </w:r>
    </w:p>
    <w:p w:rsidR="006C44B6" w:rsidRDefault="006C44B6">
      <w:pPr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Homogenat odwirować przy 10.000 x </w:t>
      </w:r>
      <w:r>
        <w:rPr>
          <w:i/>
          <w:iCs/>
          <w:sz w:val="23"/>
          <w:szCs w:val="23"/>
        </w:rPr>
        <w:t>g</w:t>
      </w:r>
      <w:r>
        <w:rPr>
          <w:sz w:val="23"/>
          <w:szCs w:val="23"/>
        </w:rPr>
        <w:t xml:space="preserve"> przez 20 minut (12.000 obrotów/minutę, wirówka MPW  365) </w:t>
      </w:r>
    </w:p>
    <w:p w:rsidR="006C44B6" w:rsidRDefault="006C44B6">
      <w:pPr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Płyn nadosadowy preinkubować w łaźni o temperaturze 37</w:t>
      </w:r>
      <w:r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>C przez 5 minut.</w:t>
      </w:r>
    </w:p>
    <w:p w:rsidR="006C44B6" w:rsidRDefault="006C44B6">
      <w:pPr>
        <w:ind w:left="240"/>
        <w:jc w:val="both"/>
        <w:rPr>
          <w:sz w:val="23"/>
          <w:szCs w:val="23"/>
        </w:rPr>
      </w:pPr>
    </w:p>
    <w:p w:rsidR="006C44B6" w:rsidRDefault="006C44B6">
      <w:pPr>
        <w:ind w:left="240"/>
        <w:jc w:val="both"/>
        <w:rPr>
          <w:sz w:val="23"/>
          <w:szCs w:val="27"/>
          <w:u w:val="single"/>
        </w:rPr>
      </w:pPr>
      <w:r>
        <w:rPr>
          <w:sz w:val="23"/>
          <w:szCs w:val="23"/>
        </w:rPr>
        <w:br w:type="page"/>
      </w:r>
      <w:r>
        <w:rPr>
          <w:sz w:val="23"/>
          <w:szCs w:val="27"/>
          <w:u w:val="single"/>
        </w:rPr>
        <w:lastRenderedPageBreak/>
        <w:t>2.Przygotowanie pasków z octanu celulozy</w:t>
      </w:r>
    </w:p>
    <w:p w:rsidR="006C44B6" w:rsidRDefault="006C44B6">
      <w:pPr>
        <w:jc w:val="both"/>
        <w:rPr>
          <w:sz w:val="23"/>
          <w:szCs w:val="27"/>
          <w:u w:val="single"/>
        </w:rPr>
      </w:pPr>
    </w:p>
    <w:p w:rsidR="006C44B6" w:rsidRDefault="006C44B6">
      <w:pPr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Przygotować trzy paski z octanu celulozy o wymiarach 120x25 mm </w:t>
      </w:r>
    </w:p>
    <w:p w:rsidR="006C44B6" w:rsidRDefault="006C44B6">
      <w:pPr>
        <w:numPr>
          <w:ilvl w:val="0"/>
          <w:numId w:val="14"/>
        </w:numPr>
        <w:jc w:val="both"/>
        <w:rPr>
          <w:sz w:val="23"/>
          <w:szCs w:val="27"/>
          <w:u w:val="single"/>
        </w:rPr>
      </w:pPr>
      <w:r>
        <w:rPr>
          <w:sz w:val="23"/>
          <w:szCs w:val="23"/>
        </w:rPr>
        <w:t xml:space="preserve">Narysować zwykłym ołówkiem linię startu w odległości 4 cm od krótkiego boku </w:t>
      </w:r>
    </w:p>
    <w:p w:rsidR="006C44B6" w:rsidRDefault="006C44B6">
      <w:pPr>
        <w:numPr>
          <w:ilvl w:val="0"/>
          <w:numId w:val="14"/>
        </w:numPr>
        <w:jc w:val="both"/>
        <w:rPr>
          <w:sz w:val="23"/>
          <w:szCs w:val="27"/>
          <w:u w:val="single"/>
        </w:rPr>
      </w:pPr>
      <w:r>
        <w:rPr>
          <w:sz w:val="23"/>
          <w:szCs w:val="23"/>
        </w:rPr>
        <w:t xml:space="preserve">Zaznaczyć (+) koniec anodowy i (-) koniec katodowy. </w:t>
      </w:r>
    </w:p>
    <w:p w:rsidR="006C44B6" w:rsidRDefault="006C44B6">
      <w:pPr>
        <w:numPr>
          <w:ilvl w:val="0"/>
          <w:numId w:val="14"/>
        </w:numPr>
        <w:jc w:val="both"/>
        <w:rPr>
          <w:sz w:val="23"/>
          <w:szCs w:val="27"/>
          <w:u w:val="single"/>
        </w:rPr>
      </w:pPr>
      <w:r>
        <w:rPr>
          <w:sz w:val="23"/>
          <w:szCs w:val="23"/>
        </w:rPr>
        <w:t xml:space="preserve">Paski wymoczone przez dobę w 30% metanolu, wypłukać dwa razy wodą destylowaną i umieścić w 50 mM buforze fosforanowym o pH 6,0 na 15-30 minut. </w:t>
      </w:r>
    </w:p>
    <w:p w:rsidR="006C44B6" w:rsidRDefault="006C44B6">
      <w:pPr>
        <w:numPr>
          <w:ilvl w:val="0"/>
          <w:numId w:val="14"/>
        </w:numPr>
        <w:jc w:val="both"/>
        <w:rPr>
          <w:sz w:val="23"/>
          <w:szCs w:val="27"/>
          <w:u w:val="single"/>
        </w:rPr>
      </w:pPr>
      <w:r>
        <w:rPr>
          <w:sz w:val="23"/>
          <w:szCs w:val="23"/>
        </w:rPr>
        <w:t>Przed umieszczeniem paska w aparacie do elektroforezy należy usunąć nadmiar buforu bibułą filtracyjną</w:t>
      </w:r>
    </w:p>
    <w:p w:rsidR="006C44B6" w:rsidRDefault="006C44B6">
      <w:pPr>
        <w:jc w:val="both"/>
        <w:rPr>
          <w:sz w:val="23"/>
          <w:szCs w:val="27"/>
          <w:u w:val="single"/>
        </w:rPr>
      </w:pPr>
    </w:p>
    <w:p w:rsidR="006C44B6" w:rsidRDefault="006C44B6">
      <w:pPr>
        <w:jc w:val="both"/>
        <w:rPr>
          <w:sz w:val="23"/>
          <w:szCs w:val="27"/>
          <w:u w:val="single"/>
        </w:rPr>
      </w:pPr>
      <w:r>
        <w:rPr>
          <w:sz w:val="23"/>
          <w:szCs w:val="27"/>
          <w:u w:val="single"/>
        </w:rPr>
        <w:t>3. Rozdział elektroforetyczny</w:t>
      </w:r>
    </w:p>
    <w:p w:rsidR="006C44B6" w:rsidRDefault="006C44B6">
      <w:pPr>
        <w:jc w:val="both"/>
        <w:rPr>
          <w:sz w:val="23"/>
          <w:szCs w:val="27"/>
          <w:u w:val="single"/>
        </w:rPr>
      </w:pPr>
    </w:p>
    <w:p w:rsidR="006C44B6" w:rsidRDefault="006C44B6">
      <w:pPr>
        <w:pStyle w:val="Tekstpodstawowywcity2"/>
        <w:numPr>
          <w:ilvl w:val="0"/>
          <w:numId w:val="15"/>
        </w:numPr>
      </w:pPr>
      <w:r>
        <w:t>Rozdział przeprowadzić w aparacie do elektroforezy poziomej (Ryc. 2).</w:t>
      </w:r>
    </w:p>
    <w:p w:rsidR="006C44B6" w:rsidRDefault="006C44B6">
      <w:pPr>
        <w:pStyle w:val="Tekstpodstawowywcity2"/>
      </w:pPr>
    </w:p>
    <w:p w:rsidR="006C44B6" w:rsidRDefault="006C44B6">
      <w:pPr>
        <w:pStyle w:val="Tekstpodstawowywcity2"/>
        <w:ind w:firstLine="0"/>
      </w:pPr>
    </w:p>
    <w:p w:rsidR="006C44B6" w:rsidRDefault="00EF73A0">
      <w:pPr>
        <w:pStyle w:val="Tekstpodstawowywcity2"/>
        <w:jc w:val="center"/>
      </w:pPr>
      <w:r>
        <w:rPr>
          <w:noProof/>
        </w:rPr>
        <w:drawing>
          <wp:inline distT="0" distB="0" distL="0" distR="0">
            <wp:extent cx="3810000" cy="2581275"/>
            <wp:effectExtent l="19050" t="0" r="0" b="0"/>
            <wp:docPr id="2" name="Obraz 2" descr="skanuj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nuj0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B6" w:rsidRDefault="006C44B6">
      <w:pPr>
        <w:pStyle w:val="Tekstpodstawowywcity2"/>
      </w:pPr>
    </w:p>
    <w:p w:rsidR="006C44B6" w:rsidRPr="00793E65" w:rsidRDefault="006C44B6" w:rsidP="00793E65">
      <w:pPr>
        <w:pStyle w:val="Tekstpodstawowywcity2"/>
        <w:tabs>
          <w:tab w:val="left" w:pos="7560"/>
        </w:tabs>
      </w:pPr>
      <w:r w:rsidRPr="00793E65">
        <w:rPr>
          <w:b/>
        </w:rPr>
        <w:t xml:space="preserve">Ryc.2. </w:t>
      </w:r>
      <w:r w:rsidRPr="00793E65">
        <w:t>Schemat aparatu do elektroforezy białek na octanie celulozy</w:t>
      </w:r>
      <w:r w:rsidR="00793E65" w:rsidRPr="00793E65">
        <w:tab/>
      </w:r>
    </w:p>
    <w:p w:rsidR="006C44B6" w:rsidRDefault="006C44B6">
      <w:pPr>
        <w:pStyle w:val="Tekstpodstawowywcity2"/>
      </w:pPr>
    </w:p>
    <w:p w:rsidR="006C44B6" w:rsidRDefault="006C44B6">
      <w:pPr>
        <w:pStyle w:val="Tekstpodstawowywcity2"/>
      </w:pPr>
    </w:p>
    <w:p w:rsidR="006C44B6" w:rsidRDefault="006C44B6">
      <w:pPr>
        <w:pStyle w:val="Tekstpodstawowywcity2"/>
        <w:numPr>
          <w:ilvl w:val="0"/>
          <w:numId w:val="15"/>
        </w:numPr>
      </w:pPr>
      <w:r>
        <w:t>Po starannym umyciu aparatu napełnić kawałkami lodu dolną część.</w:t>
      </w:r>
    </w:p>
    <w:p w:rsidR="006C44B6" w:rsidRDefault="006C44B6">
      <w:pPr>
        <w:pStyle w:val="Tekstpodstawowywcity2"/>
        <w:numPr>
          <w:ilvl w:val="0"/>
          <w:numId w:val="15"/>
        </w:numPr>
      </w:pPr>
      <w:r>
        <w:t>Napełnić 50 mM buforem fosforanowym o pH 6.0 komory elektrodowe dolnej części aparatu.</w:t>
      </w:r>
    </w:p>
    <w:p w:rsidR="006C44B6" w:rsidRDefault="006C44B6">
      <w:pPr>
        <w:pStyle w:val="Tekstpodstawowywcity2"/>
        <w:numPr>
          <w:ilvl w:val="0"/>
          <w:numId w:val="15"/>
        </w:numPr>
      </w:pPr>
      <w:r>
        <w:t>Zawiesić 3 paski z octanu celulozy tak, aby oba brzegi każdego paska były umieszczone w komorach wypełnionych 50 mM buforem fosforanowym o pH 6,0.</w:t>
      </w:r>
    </w:p>
    <w:p w:rsidR="006C44B6" w:rsidRDefault="006C44B6">
      <w:pPr>
        <w:pStyle w:val="Tekstpodstawowywcity2"/>
        <w:numPr>
          <w:ilvl w:val="0"/>
          <w:numId w:val="15"/>
        </w:numPr>
      </w:pPr>
      <w:r>
        <w:t xml:space="preserve">Przeprowadzić preelektroforezę od katoty (-) do anody (+) przy natężeniu prądu 20 mA napięcie 200V przez ok. 5 minut. </w:t>
      </w:r>
    </w:p>
    <w:p w:rsidR="006C44B6" w:rsidRDefault="006C44B6">
      <w:pPr>
        <w:pStyle w:val="Tekstpodstawowywcity2"/>
        <w:numPr>
          <w:ilvl w:val="0"/>
          <w:numId w:val="15"/>
        </w:numPr>
      </w:pPr>
      <w:r>
        <w:t xml:space="preserve">Nanieść przygotowane homogenaty w buforach o pH 5,5; 5,0 i 2,5 każdy na oddzielny pasek octanu celulozy przy pomocy pipety w ilości 10 </w:t>
      </w:r>
      <w:r>
        <w:sym w:font="Symbol" w:char="F06D"/>
      </w:r>
      <w:r>
        <w:t xml:space="preserve">l w miejscu uprzednio narysowanej linii startowej. </w:t>
      </w:r>
    </w:p>
    <w:p w:rsidR="006C44B6" w:rsidRDefault="006C44B6">
      <w:pPr>
        <w:pStyle w:val="Tekstpodstawowywcity2"/>
        <w:numPr>
          <w:ilvl w:val="0"/>
          <w:numId w:val="15"/>
        </w:numPr>
      </w:pPr>
      <w:r>
        <w:t>Właściwą elektroforezę prowadzić przez 2,5 godziny przy napięciu 200V i natężeniu prądu 20 mA.</w:t>
      </w:r>
    </w:p>
    <w:p w:rsidR="006C44B6" w:rsidRDefault="006C44B6">
      <w:pPr>
        <w:pStyle w:val="Tekstpodstawowywcity2"/>
        <w:numPr>
          <w:ilvl w:val="0"/>
          <w:numId w:val="15"/>
        </w:numPr>
      </w:pPr>
      <w:r>
        <w:t>Po zakończonej elektroforezie należy wyłączyć zasilacz aparatu do elektroforezy, a z paskami z octanu celulozy zawierającymi elektroforogramy należy postąpić jak opisano poniżej.</w:t>
      </w:r>
    </w:p>
    <w:p w:rsidR="006C44B6" w:rsidRDefault="006C44B6">
      <w:pPr>
        <w:pStyle w:val="Tekstpodstawowywcity2"/>
        <w:numPr>
          <w:ilvl w:val="0"/>
          <w:numId w:val="15"/>
        </w:numPr>
      </w:pPr>
      <w:r>
        <w:t>Z aparatu do elektroforezy wodę z roztopionego lodu i bufor fosforanowy należy wylać do zlewu, a aparat starannie umyć.</w:t>
      </w:r>
    </w:p>
    <w:p w:rsidR="006C44B6" w:rsidRDefault="006C44B6">
      <w:pPr>
        <w:jc w:val="both"/>
        <w:rPr>
          <w:sz w:val="23"/>
          <w:szCs w:val="27"/>
          <w:u w:val="single"/>
        </w:rPr>
      </w:pPr>
    </w:p>
    <w:p w:rsidR="006C44B6" w:rsidRDefault="006C44B6">
      <w:pPr>
        <w:jc w:val="both"/>
        <w:rPr>
          <w:sz w:val="23"/>
          <w:szCs w:val="27"/>
          <w:u w:val="single"/>
        </w:rPr>
      </w:pPr>
      <w:r>
        <w:rPr>
          <w:sz w:val="23"/>
          <w:szCs w:val="27"/>
          <w:u w:val="single"/>
        </w:rPr>
        <w:t>4. Wykrywanie izoenzymów</w:t>
      </w:r>
    </w:p>
    <w:p w:rsidR="006C44B6" w:rsidRDefault="006C44B6">
      <w:pPr>
        <w:jc w:val="both"/>
        <w:rPr>
          <w:i/>
          <w:iCs/>
          <w:sz w:val="23"/>
          <w:szCs w:val="27"/>
          <w:u w:val="single"/>
        </w:rPr>
      </w:pPr>
    </w:p>
    <w:p w:rsidR="006C44B6" w:rsidRDefault="006C44B6">
      <w:pPr>
        <w:jc w:val="both"/>
        <w:rPr>
          <w:sz w:val="23"/>
          <w:szCs w:val="25"/>
        </w:rPr>
      </w:pPr>
      <w:r>
        <w:rPr>
          <w:sz w:val="23"/>
          <w:szCs w:val="25"/>
        </w:rPr>
        <w:t>4.1. Sporządzenie substratu I:</w:t>
      </w:r>
    </w:p>
    <w:p w:rsidR="006C44B6" w:rsidRDefault="006C44B6">
      <w:pPr>
        <w:jc w:val="both"/>
        <w:rPr>
          <w:sz w:val="23"/>
          <w:szCs w:val="25"/>
        </w:rPr>
      </w:pPr>
    </w:p>
    <w:p w:rsidR="006C44B6" w:rsidRDefault="006C44B6">
      <w:pPr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Substrat I przygotować bezpośrednio przed użyciem</w:t>
      </w:r>
    </w:p>
    <w:p w:rsidR="006C44B6" w:rsidRDefault="006C44B6">
      <w:pPr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2 mg 4-metylo-umbeliferylo-N-acetylo-</w:t>
      </w:r>
      <w:r>
        <w:rPr>
          <w:sz w:val="23"/>
          <w:szCs w:val="23"/>
          <w:lang w:val="en-US"/>
        </w:rPr>
        <w:sym w:font="Symbol" w:char="F062"/>
      </w:r>
      <w:r>
        <w:rPr>
          <w:sz w:val="23"/>
          <w:szCs w:val="23"/>
        </w:rPr>
        <w:t>-glukozoaminidazu (substrat I) rozpuścić w 10 ml buforu fosforanowo-cytrynianowego wg Mv Ilvaine o pH 4,0.</w:t>
      </w:r>
    </w:p>
    <w:p w:rsidR="006C44B6" w:rsidRDefault="006C44B6">
      <w:pPr>
        <w:pStyle w:val="Tekstpodstawowy"/>
        <w:ind w:left="720" w:hanging="720"/>
        <w:rPr>
          <w:sz w:val="23"/>
          <w:szCs w:val="27"/>
        </w:rPr>
      </w:pPr>
    </w:p>
    <w:p w:rsidR="006C44B6" w:rsidRDefault="006C44B6">
      <w:pPr>
        <w:pStyle w:val="Tekstpodstawowy"/>
        <w:ind w:left="720" w:hanging="720"/>
        <w:rPr>
          <w:sz w:val="23"/>
          <w:szCs w:val="27"/>
        </w:rPr>
      </w:pPr>
      <w:r>
        <w:rPr>
          <w:sz w:val="23"/>
          <w:szCs w:val="27"/>
        </w:rPr>
        <w:t>4.2.Przeprowadzenie reakcji barwnej N-acetylo-</w:t>
      </w:r>
      <w:r>
        <w:rPr>
          <w:sz w:val="23"/>
          <w:szCs w:val="27"/>
        </w:rPr>
        <w:sym w:font="Symbol" w:char="F062"/>
      </w:r>
      <w:r>
        <w:rPr>
          <w:sz w:val="23"/>
          <w:szCs w:val="27"/>
        </w:rPr>
        <w:t>-heksozoaminidazy na elektroforogramach:</w:t>
      </w:r>
    </w:p>
    <w:p w:rsidR="006C44B6" w:rsidRDefault="006C44B6">
      <w:pPr>
        <w:pStyle w:val="Tekstpodstawowy"/>
        <w:jc w:val="both"/>
        <w:rPr>
          <w:sz w:val="23"/>
          <w:szCs w:val="23"/>
        </w:rPr>
      </w:pPr>
    </w:p>
    <w:p w:rsidR="006C44B6" w:rsidRDefault="006C44B6">
      <w:pPr>
        <w:pStyle w:val="Tekstpodstawowy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płytce szklanej (ryc. 3.) umieścić paski z bibuły filtracyjnej </w:t>
      </w:r>
      <w:r>
        <w:rPr>
          <w:i/>
          <w:iCs/>
          <w:sz w:val="23"/>
          <w:szCs w:val="23"/>
        </w:rPr>
        <w:t>Whatman 1</w:t>
      </w:r>
      <w:r>
        <w:rPr>
          <w:sz w:val="23"/>
          <w:szCs w:val="23"/>
        </w:rPr>
        <w:t xml:space="preserve"> </w:t>
      </w:r>
    </w:p>
    <w:p w:rsidR="006C44B6" w:rsidRDefault="006C44B6">
      <w:pPr>
        <w:pStyle w:val="Tekstpodstawowy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Nasączyć je przygotowanym bezpośrednio przed użyciem roztworem substratu I (4-metylo-umbeliferylo-N-acetylo-</w:t>
      </w:r>
      <w:r>
        <w:rPr>
          <w:sz w:val="23"/>
          <w:szCs w:val="23"/>
        </w:rPr>
        <w:sym w:font="Symbol" w:char="F062"/>
      </w:r>
      <w:r>
        <w:rPr>
          <w:sz w:val="23"/>
          <w:szCs w:val="23"/>
        </w:rPr>
        <w:t xml:space="preserve">-glukozaminidazu w buforze fosforanowo-cytrynianowym wg Mc Ilvaine o pH 4,0). </w:t>
      </w:r>
    </w:p>
    <w:p w:rsidR="006C44B6" w:rsidRDefault="006C44B6">
      <w:pPr>
        <w:pStyle w:val="Tekstpodstawowy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Paski octanu celulozy z materiałem badanym po elektroforezie ułożyć na paskach bibuły nasączonych substratem </w:t>
      </w:r>
    </w:p>
    <w:p w:rsidR="006C44B6" w:rsidRDefault="006C44B6">
      <w:pPr>
        <w:pStyle w:val="Tekstpodstawowy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Przykryć drugą płytą szklaną, zawinąć w wilgotną ligninę i folię (Ryc. 3.)</w:t>
      </w:r>
    </w:p>
    <w:p w:rsidR="006C44B6" w:rsidRDefault="006C44B6">
      <w:pPr>
        <w:pStyle w:val="Tekstpodstawowy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Umieścić w cieplarce o temperaturze 37</w:t>
      </w:r>
      <w:r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>C na ok. 30 minut.</w:t>
      </w:r>
    </w:p>
    <w:p w:rsidR="006C44B6" w:rsidRDefault="006C44B6">
      <w:pPr>
        <w:pStyle w:val="Tekstpodstawowy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Wyniki odczytać umieszczając płytkę szklaną z elektroforogramami pod lampą ultrafioletową.</w:t>
      </w:r>
    </w:p>
    <w:p w:rsidR="006C44B6" w:rsidRDefault="006C44B6">
      <w:pPr>
        <w:pStyle w:val="Tekstpodstawowy"/>
        <w:jc w:val="both"/>
        <w:rPr>
          <w:sz w:val="23"/>
          <w:szCs w:val="23"/>
        </w:rPr>
      </w:pPr>
    </w:p>
    <w:p w:rsidR="006C44B6" w:rsidRDefault="006C44B6">
      <w:pPr>
        <w:pStyle w:val="Tekstpodstawowy"/>
        <w:jc w:val="center"/>
        <w:rPr>
          <w:sz w:val="23"/>
          <w:szCs w:val="23"/>
        </w:rPr>
      </w:pPr>
    </w:p>
    <w:p w:rsidR="006C44B6" w:rsidRPr="00793E65" w:rsidRDefault="00EF73A0" w:rsidP="00793E65">
      <w:pPr>
        <w:pStyle w:val="Tekstpodstawowy"/>
        <w:jc w:val="center"/>
        <w:rPr>
          <w:sz w:val="23"/>
          <w:szCs w:val="27"/>
        </w:rPr>
      </w:pPr>
      <w:r>
        <w:rPr>
          <w:noProof/>
          <w:sz w:val="23"/>
          <w:szCs w:val="27"/>
        </w:rPr>
        <w:drawing>
          <wp:inline distT="0" distB="0" distL="0" distR="0">
            <wp:extent cx="4038600" cy="2009775"/>
            <wp:effectExtent l="19050" t="0" r="0" b="0"/>
            <wp:docPr id="3" name="Obraz 3" descr="skanuj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uj0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B6" w:rsidRDefault="006C44B6" w:rsidP="00793E65">
      <w:pPr>
        <w:pStyle w:val="Tekstpodstawowy"/>
        <w:ind w:left="567"/>
        <w:rPr>
          <w:sz w:val="23"/>
          <w:szCs w:val="23"/>
        </w:rPr>
      </w:pPr>
      <w:r w:rsidRPr="00793E65">
        <w:rPr>
          <w:b/>
          <w:sz w:val="23"/>
          <w:szCs w:val="23"/>
        </w:rPr>
        <w:t>Ryc.3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Sposób uwidaczniania izoenzymów N-acetylo-</w:t>
      </w:r>
      <w:r>
        <w:rPr>
          <w:sz w:val="23"/>
          <w:szCs w:val="23"/>
        </w:rPr>
        <w:sym w:font="Symbol" w:char="F062"/>
      </w:r>
      <w:r>
        <w:rPr>
          <w:sz w:val="23"/>
          <w:szCs w:val="23"/>
        </w:rPr>
        <w:t>-heksozoaminidazy A i B po elektroforezie na paskach octanu celulozy.</w:t>
      </w:r>
    </w:p>
    <w:p w:rsidR="006C44B6" w:rsidRDefault="006C44B6">
      <w:pPr>
        <w:pStyle w:val="Tekstpodstawowy"/>
        <w:ind w:left="720" w:hanging="720"/>
        <w:rPr>
          <w:sz w:val="23"/>
          <w:szCs w:val="27"/>
          <w:u w:val="single"/>
        </w:rPr>
      </w:pPr>
      <w:r>
        <w:rPr>
          <w:sz w:val="23"/>
          <w:szCs w:val="27"/>
          <w:u w:val="single"/>
        </w:rPr>
        <w:t xml:space="preserve"> </w:t>
      </w:r>
    </w:p>
    <w:p w:rsidR="006C44B6" w:rsidRDefault="006C44B6">
      <w:pPr>
        <w:pStyle w:val="Tekstpodstawowy"/>
        <w:rPr>
          <w:sz w:val="23"/>
          <w:szCs w:val="27"/>
          <w:u w:val="single"/>
        </w:rPr>
      </w:pPr>
      <w:r>
        <w:rPr>
          <w:sz w:val="23"/>
          <w:szCs w:val="27"/>
          <w:u w:val="single"/>
        </w:rPr>
        <w:t>5. Przechowywanie pasków z octanu celulozy</w:t>
      </w:r>
    </w:p>
    <w:p w:rsidR="006C44B6" w:rsidRDefault="006C44B6">
      <w:pPr>
        <w:pStyle w:val="Tekstpodstawowy"/>
        <w:rPr>
          <w:sz w:val="23"/>
          <w:szCs w:val="27"/>
          <w:u w:val="single"/>
        </w:rPr>
      </w:pPr>
    </w:p>
    <w:p w:rsidR="006C44B6" w:rsidRDefault="006C44B6">
      <w:pPr>
        <w:pStyle w:val="Tekstpodstawowy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Po odczytaniu wyników, paski z octanu celulozy przemyć dwukrotnie wodą destylowaną </w:t>
      </w:r>
    </w:p>
    <w:p w:rsidR="006C44B6" w:rsidRDefault="006C44B6">
      <w:pPr>
        <w:pStyle w:val="Tekstpodstawowy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Umieścić w naczyniu wypełnionym 30% metanolem.</w:t>
      </w:r>
    </w:p>
    <w:p w:rsidR="006C44B6" w:rsidRDefault="006C44B6">
      <w:pPr>
        <w:pStyle w:val="Tekstpodstawowy"/>
        <w:rPr>
          <w:sz w:val="23"/>
          <w:szCs w:val="23"/>
        </w:rPr>
      </w:pPr>
    </w:p>
    <w:p w:rsidR="006C44B6" w:rsidRDefault="006C44B6">
      <w:pPr>
        <w:pStyle w:val="Tekstpodstawowy"/>
        <w:rPr>
          <w:sz w:val="23"/>
          <w:szCs w:val="27"/>
          <w:u w:val="single"/>
        </w:rPr>
      </w:pPr>
      <w:r>
        <w:rPr>
          <w:sz w:val="23"/>
          <w:szCs w:val="27"/>
          <w:u w:val="single"/>
        </w:rPr>
        <w:t>6. Oznaczanie aktywności N-acetylo-</w:t>
      </w:r>
      <w:r>
        <w:rPr>
          <w:sz w:val="23"/>
          <w:szCs w:val="27"/>
          <w:u w:val="single"/>
        </w:rPr>
        <w:sym w:font="Symbol" w:char="F062"/>
      </w:r>
      <w:r>
        <w:rPr>
          <w:sz w:val="23"/>
          <w:szCs w:val="27"/>
          <w:u w:val="single"/>
        </w:rPr>
        <w:t>-heksozoaminidazy</w:t>
      </w:r>
    </w:p>
    <w:p w:rsidR="006C44B6" w:rsidRDefault="006C44B6">
      <w:pPr>
        <w:pStyle w:val="Tekstpodstawowy"/>
        <w:rPr>
          <w:sz w:val="23"/>
          <w:szCs w:val="27"/>
          <w:u w:val="single"/>
        </w:rPr>
      </w:pP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Do 4 probówek oznaczonych 0, 1, 2, 3, odmierzyć po 150 </w:t>
      </w:r>
      <w:r>
        <w:rPr>
          <w:sz w:val="23"/>
          <w:szCs w:val="23"/>
        </w:rPr>
        <w:sym w:font="Symbol" w:char="F06D"/>
      </w:r>
      <w:r>
        <w:rPr>
          <w:sz w:val="23"/>
          <w:szCs w:val="23"/>
        </w:rPr>
        <w:t>l substratu II (p-nitrofenylo-2-acetamido-2deoksy-</w:t>
      </w:r>
      <w:r>
        <w:rPr>
          <w:sz w:val="23"/>
          <w:szCs w:val="23"/>
        </w:rPr>
        <w:sym w:font="Symbol" w:char="F062"/>
      </w:r>
      <w:r>
        <w:rPr>
          <w:sz w:val="23"/>
          <w:szCs w:val="23"/>
        </w:rPr>
        <w:t>-D-glukopiranozydu w buforze fosforanowo-cytrynianowym wg Mc Ilvaine o pH 4,7).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Do probówki oznaczonej 0 dodać 50 </w:t>
      </w:r>
      <w:r>
        <w:rPr>
          <w:sz w:val="23"/>
          <w:szCs w:val="23"/>
        </w:rPr>
        <w:sym w:font="Symbol" w:char="F06D"/>
      </w:r>
      <w:r>
        <w:rPr>
          <w:sz w:val="23"/>
          <w:szCs w:val="23"/>
        </w:rPr>
        <w:t xml:space="preserve">l wody redestylowanej 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Do probówki oznaczonej 1 dodać 50 </w:t>
      </w:r>
      <w:r>
        <w:rPr>
          <w:sz w:val="23"/>
          <w:szCs w:val="23"/>
        </w:rPr>
        <w:sym w:font="Symbol" w:char="F06D"/>
      </w:r>
      <w:r>
        <w:rPr>
          <w:sz w:val="23"/>
          <w:szCs w:val="23"/>
        </w:rPr>
        <w:t>l wyciągu enzymatycznego sporządzonego wg przepisu w punkcie 1.1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Do probówki oznaczonej 2 dodać 50 </w:t>
      </w:r>
      <w:r>
        <w:rPr>
          <w:sz w:val="23"/>
          <w:szCs w:val="23"/>
        </w:rPr>
        <w:sym w:font="Symbol" w:char="F06D"/>
      </w:r>
      <w:r>
        <w:rPr>
          <w:sz w:val="23"/>
          <w:szCs w:val="23"/>
        </w:rPr>
        <w:t xml:space="preserve">l wyciągu enzymatycznego sporządzonego wg przepisu w punkcie 1.2 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Do probówki oznaczonej 3 dodać 50 </w:t>
      </w:r>
      <w:r>
        <w:rPr>
          <w:sz w:val="23"/>
          <w:szCs w:val="23"/>
        </w:rPr>
        <w:sym w:font="Symbol" w:char="F06D"/>
      </w:r>
      <w:r>
        <w:rPr>
          <w:sz w:val="23"/>
          <w:szCs w:val="23"/>
        </w:rPr>
        <w:t xml:space="preserve">l wyciągu enzymatycznego sporządzonego wg przepisu w punkcie 1.3 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Wyciąg enzymatyczny należy przed dodaniem do mieszanin inkubacyjnych odpowiednio rozcieńczyć buforem fosforanowo-cytrynianowym o pH 4,7  </w:t>
      </w:r>
    </w:p>
    <w:p w:rsidR="006C44B6" w:rsidRDefault="006C44B6">
      <w:pPr>
        <w:pStyle w:val="Tekstpodstawowy"/>
        <w:numPr>
          <w:ilvl w:val="2"/>
          <w:numId w:val="22"/>
        </w:numPr>
        <w:tabs>
          <w:tab w:val="num" w:pos="1800"/>
        </w:tabs>
        <w:jc w:val="both"/>
        <w:rPr>
          <w:sz w:val="22"/>
          <w:szCs w:val="27"/>
        </w:rPr>
      </w:pPr>
      <w:r>
        <w:rPr>
          <w:sz w:val="22"/>
          <w:szCs w:val="27"/>
        </w:rPr>
        <w:t>wyciąg z wątroby 100x</w:t>
      </w:r>
    </w:p>
    <w:p w:rsidR="006C44B6" w:rsidRDefault="006C44B6">
      <w:pPr>
        <w:pStyle w:val="Tekstpodstawowy"/>
        <w:numPr>
          <w:ilvl w:val="2"/>
          <w:numId w:val="22"/>
        </w:numPr>
        <w:tabs>
          <w:tab w:val="num" w:pos="1800"/>
        </w:tabs>
        <w:jc w:val="both"/>
        <w:rPr>
          <w:sz w:val="23"/>
          <w:szCs w:val="23"/>
        </w:rPr>
      </w:pPr>
      <w:r>
        <w:rPr>
          <w:sz w:val="22"/>
          <w:szCs w:val="27"/>
        </w:rPr>
        <w:t>wyciąg z nerki 200x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Do wszystkich probówek dodać 200 </w:t>
      </w:r>
      <w:r>
        <w:rPr>
          <w:sz w:val="23"/>
          <w:szCs w:val="23"/>
        </w:rPr>
        <w:sym w:font="Symbol" w:char="F06D"/>
      </w:r>
      <w:r>
        <w:rPr>
          <w:sz w:val="23"/>
          <w:szCs w:val="23"/>
        </w:rPr>
        <w:t xml:space="preserve">l buforu fosforanowo-cytrynianowego o pH 4,7 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7"/>
        </w:rPr>
      </w:pPr>
      <w:r>
        <w:rPr>
          <w:sz w:val="23"/>
          <w:szCs w:val="23"/>
        </w:rPr>
        <w:t>Zawartość probówek wymieszać i inkubować przez 30 minut w łaźni wodnej o temperaturze 37</w:t>
      </w:r>
      <w:r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>C.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7"/>
        </w:rPr>
      </w:pPr>
      <w:r>
        <w:rPr>
          <w:sz w:val="23"/>
          <w:szCs w:val="23"/>
        </w:rPr>
        <w:t xml:space="preserve">Po tym czasie próby wyjąć z łaźni i oziębić. 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7"/>
        </w:rPr>
      </w:pPr>
      <w:r>
        <w:rPr>
          <w:sz w:val="23"/>
          <w:szCs w:val="23"/>
        </w:rPr>
        <w:t xml:space="preserve">Dodać do każdej probówki po 1000 </w:t>
      </w:r>
      <w:r>
        <w:rPr>
          <w:sz w:val="23"/>
          <w:szCs w:val="23"/>
        </w:rPr>
        <w:sym w:font="Symbol" w:char="F06D"/>
      </w:r>
      <w:r>
        <w:rPr>
          <w:sz w:val="23"/>
          <w:szCs w:val="23"/>
        </w:rPr>
        <w:t xml:space="preserve">l 200 mM buforu boranowego o pH 9,8. 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7"/>
        </w:rPr>
      </w:pPr>
      <w:r>
        <w:rPr>
          <w:sz w:val="23"/>
          <w:szCs w:val="23"/>
        </w:rPr>
        <w:t>Ekstynkcje uwolnionego p-nitrofenolu zmierzyć spektrofotometrycznie wobec próby 0 przy długości fali 410 nm</w:t>
      </w:r>
    </w:p>
    <w:p w:rsidR="006C44B6" w:rsidRDefault="006C44B6">
      <w:pPr>
        <w:pStyle w:val="Tekstpodstawowy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Wpisać wartości ekstynkcji do zeszytu w tabeli I </w:t>
      </w:r>
    </w:p>
    <w:p w:rsidR="006C44B6" w:rsidRDefault="006C44B6">
      <w:pPr>
        <w:pStyle w:val="Tekstpodstawowy"/>
        <w:rPr>
          <w:sz w:val="23"/>
          <w:szCs w:val="23"/>
        </w:rPr>
      </w:pPr>
    </w:p>
    <w:p w:rsidR="006C44B6" w:rsidRDefault="006C44B6">
      <w:pPr>
        <w:pStyle w:val="Tekstpodstawowy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Tabela </w:t>
      </w:r>
      <w:r w:rsidR="0026053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</w:t>
      </w:r>
    </w:p>
    <w:p w:rsidR="006C44B6" w:rsidRDefault="006C44B6">
      <w:pPr>
        <w:pStyle w:val="Tekstpodstawowy"/>
        <w:rPr>
          <w:sz w:val="23"/>
          <w:szCs w:val="23"/>
        </w:rPr>
      </w:pPr>
    </w:p>
    <w:p w:rsidR="006C44B6" w:rsidRDefault="006C44B6">
      <w:pPr>
        <w:pStyle w:val="Tekstpodstawowy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74"/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060"/>
        <w:gridCol w:w="1080"/>
        <w:gridCol w:w="3060"/>
      </w:tblGrid>
      <w:tr w:rsidR="006C44B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70" w:type="dxa"/>
          </w:tcPr>
          <w:p w:rsidR="006C44B6" w:rsidRDefault="006C44B6">
            <w:pPr>
              <w:pStyle w:val="Tekstpodstawowy"/>
              <w:jc w:val="center"/>
              <w:rPr>
                <w:b/>
                <w:sz w:val="23"/>
                <w:szCs w:val="20"/>
              </w:rPr>
            </w:pPr>
          </w:p>
          <w:p w:rsidR="006C44B6" w:rsidRDefault="006C44B6">
            <w:pPr>
              <w:pStyle w:val="Tekstpodstawowy"/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Nr próby</w:t>
            </w:r>
          </w:p>
        </w:tc>
        <w:tc>
          <w:tcPr>
            <w:tcW w:w="3060" w:type="dxa"/>
          </w:tcPr>
          <w:p w:rsidR="006C44B6" w:rsidRDefault="006C44B6">
            <w:pPr>
              <w:pStyle w:val="Tekstpodstawowy"/>
              <w:rPr>
                <w:b/>
                <w:bCs/>
                <w:sz w:val="23"/>
                <w:szCs w:val="20"/>
              </w:rPr>
            </w:pPr>
          </w:p>
          <w:p w:rsidR="006C44B6" w:rsidRDefault="006C44B6">
            <w:pPr>
              <w:pStyle w:val="Tekstpodstawowy"/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Rodzaj Próby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44B6" w:rsidRDefault="006C44B6">
            <w:pPr>
              <w:pStyle w:val="Tekstpodstawowy"/>
              <w:jc w:val="center"/>
              <w:rPr>
                <w:b/>
                <w:sz w:val="23"/>
                <w:szCs w:val="20"/>
              </w:rPr>
            </w:pPr>
          </w:p>
          <w:p w:rsidR="006C44B6" w:rsidRDefault="006C44B6">
            <w:pPr>
              <w:pStyle w:val="Tekstpodstawowy"/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Wartość E</w:t>
            </w:r>
            <w:r>
              <w:rPr>
                <w:b/>
                <w:sz w:val="23"/>
                <w:szCs w:val="20"/>
                <w:vertAlign w:val="subscript"/>
              </w:rPr>
              <w:t>410</w:t>
            </w:r>
          </w:p>
        </w:tc>
        <w:tc>
          <w:tcPr>
            <w:tcW w:w="3060" w:type="dxa"/>
          </w:tcPr>
          <w:p w:rsidR="006C44B6" w:rsidRDefault="006C44B6">
            <w:pPr>
              <w:pStyle w:val="Tekstpodstawowy"/>
              <w:jc w:val="center"/>
              <w:rPr>
                <w:b/>
                <w:sz w:val="23"/>
                <w:szCs w:val="20"/>
              </w:rPr>
            </w:pPr>
          </w:p>
          <w:p w:rsidR="006C44B6" w:rsidRDefault="006C44B6">
            <w:pPr>
              <w:pStyle w:val="Tekstpodstawowy"/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Liczba i jakość prążków po elektroforezie na octanie celulozy</w:t>
            </w:r>
          </w:p>
        </w:tc>
      </w:tr>
      <w:tr w:rsidR="006C44B6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970" w:type="dxa"/>
          </w:tcPr>
          <w:p w:rsidR="006C44B6" w:rsidRDefault="006C44B6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6C44B6" w:rsidRDefault="006C44B6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60" w:type="dxa"/>
          </w:tcPr>
          <w:p w:rsidR="006C44B6" w:rsidRDefault="006C44B6">
            <w:pPr>
              <w:pStyle w:val="Tekstpodstawowy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Płyn nadosadowy w buforze </w:t>
            </w:r>
          </w:p>
          <w:p w:rsidR="006C44B6" w:rsidRDefault="006C44B6">
            <w:pPr>
              <w:pStyle w:val="Tekstpodstawowy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fosforanowo-cytrynianowym</w:t>
            </w:r>
          </w:p>
          <w:p w:rsidR="006C44B6" w:rsidRDefault="006C44B6">
            <w:pPr>
              <w:pStyle w:val="Tekstpodstawowy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 pH 5,5</w:t>
            </w:r>
          </w:p>
        </w:tc>
        <w:tc>
          <w:tcPr>
            <w:tcW w:w="1080" w:type="dxa"/>
          </w:tcPr>
          <w:p w:rsidR="006C44B6" w:rsidRDefault="006C44B6">
            <w:pPr>
              <w:pStyle w:val="Tekstpodstawowy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60" w:type="dxa"/>
          </w:tcPr>
          <w:p w:rsidR="006C44B6" w:rsidRDefault="006C44B6">
            <w:pPr>
              <w:pStyle w:val="Tekstpodstawowy"/>
              <w:rPr>
                <w:b/>
                <w:bCs/>
                <w:sz w:val="23"/>
                <w:szCs w:val="23"/>
              </w:rPr>
            </w:pPr>
          </w:p>
        </w:tc>
      </w:tr>
      <w:tr w:rsidR="006C44B6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970" w:type="dxa"/>
          </w:tcPr>
          <w:p w:rsidR="006C44B6" w:rsidRDefault="006C44B6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6C44B6" w:rsidRDefault="006C44B6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60" w:type="dxa"/>
          </w:tcPr>
          <w:p w:rsidR="006C44B6" w:rsidRDefault="006C44B6">
            <w:pPr>
              <w:pStyle w:val="Tekstpodstawowy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Płyn nadosadowy w buforze </w:t>
            </w:r>
          </w:p>
          <w:p w:rsidR="006C44B6" w:rsidRDefault="006C44B6">
            <w:pPr>
              <w:pStyle w:val="Tekstpodstawowy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fosforanowo-cytrynianowym</w:t>
            </w:r>
          </w:p>
          <w:p w:rsidR="006C44B6" w:rsidRDefault="006C44B6">
            <w:pPr>
              <w:pStyle w:val="Tekstpodstawowy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o pH 5,0 po inkubacji w 60</w:t>
            </w:r>
            <w:r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 przez 30 minut</w:t>
            </w:r>
          </w:p>
        </w:tc>
        <w:tc>
          <w:tcPr>
            <w:tcW w:w="1080" w:type="dxa"/>
          </w:tcPr>
          <w:p w:rsidR="006C44B6" w:rsidRDefault="006C44B6">
            <w:pPr>
              <w:pStyle w:val="Tekstpodstawowy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60" w:type="dxa"/>
          </w:tcPr>
          <w:p w:rsidR="006C44B6" w:rsidRDefault="006C44B6">
            <w:pPr>
              <w:pStyle w:val="Tekstpodstawowy"/>
              <w:rPr>
                <w:b/>
                <w:bCs/>
                <w:sz w:val="23"/>
                <w:szCs w:val="23"/>
              </w:rPr>
            </w:pPr>
          </w:p>
        </w:tc>
      </w:tr>
      <w:tr w:rsidR="006C44B6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970" w:type="dxa"/>
          </w:tcPr>
          <w:p w:rsidR="006C44B6" w:rsidRDefault="006C44B6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6C44B6" w:rsidRDefault="006C44B6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060" w:type="dxa"/>
          </w:tcPr>
          <w:p w:rsidR="006C44B6" w:rsidRDefault="006C44B6">
            <w:pPr>
              <w:pStyle w:val="Tekstpodstawowy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Płyn nadosadowy w buforze </w:t>
            </w:r>
          </w:p>
          <w:p w:rsidR="006C44B6" w:rsidRDefault="006C44B6">
            <w:pPr>
              <w:pStyle w:val="Tekstpodstawowy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fosforanowo-cytrynianowym</w:t>
            </w:r>
          </w:p>
          <w:p w:rsidR="006C44B6" w:rsidRDefault="006C44B6">
            <w:pPr>
              <w:pStyle w:val="Tekstpodstawowy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o pH 2,5 po inkubacji w 37</w:t>
            </w:r>
            <w:r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 przez 25 minut</w:t>
            </w:r>
          </w:p>
        </w:tc>
        <w:tc>
          <w:tcPr>
            <w:tcW w:w="1080" w:type="dxa"/>
          </w:tcPr>
          <w:p w:rsidR="006C44B6" w:rsidRDefault="006C44B6">
            <w:pPr>
              <w:pStyle w:val="Tekstpodstawowy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C44B6" w:rsidRDefault="006C44B6">
            <w:pPr>
              <w:pStyle w:val="Tekstpodstawowy"/>
              <w:rPr>
                <w:b/>
                <w:bCs/>
                <w:sz w:val="23"/>
                <w:szCs w:val="23"/>
              </w:rPr>
            </w:pPr>
          </w:p>
        </w:tc>
      </w:tr>
    </w:tbl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b/>
          <w:bCs/>
          <w:i/>
          <w:iCs/>
          <w:sz w:val="23"/>
          <w:u w:val="single"/>
        </w:rPr>
      </w:pPr>
    </w:p>
    <w:p w:rsidR="006C44B6" w:rsidRDefault="006C44B6">
      <w:pPr>
        <w:jc w:val="both"/>
        <w:rPr>
          <w:sz w:val="23"/>
        </w:rPr>
      </w:pPr>
    </w:p>
    <w:p w:rsidR="006C44B6" w:rsidRPr="00793E65" w:rsidRDefault="006C44B6">
      <w:pPr>
        <w:jc w:val="both"/>
        <w:rPr>
          <w:b/>
          <w:bCs/>
          <w:i/>
          <w:sz w:val="23"/>
        </w:rPr>
      </w:pPr>
      <w:r w:rsidRPr="00793E65">
        <w:rPr>
          <w:b/>
          <w:bCs/>
          <w:i/>
          <w:sz w:val="23"/>
        </w:rPr>
        <w:t>Piśmiennictwo</w:t>
      </w:r>
    </w:p>
    <w:p w:rsidR="006C44B6" w:rsidRDefault="006C44B6">
      <w:pPr>
        <w:jc w:val="both"/>
        <w:rPr>
          <w:sz w:val="23"/>
          <w:u w:val="single"/>
        </w:rPr>
      </w:pPr>
    </w:p>
    <w:p w:rsidR="006C44B6" w:rsidRPr="00793E65" w:rsidRDefault="006C44B6">
      <w:pPr>
        <w:pStyle w:val="Tekstpodstawowy"/>
        <w:numPr>
          <w:ilvl w:val="0"/>
          <w:numId w:val="9"/>
        </w:numPr>
        <w:jc w:val="both"/>
        <w:rPr>
          <w:sz w:val="20"/>
          <w:szCs w:val="20"/>
        </w:rPr>
      </w:pPr>
      <w:r w:rsidRPr="00793E65">
        <w:rPr>
          <w:bCs/>
          <w:sz w:val="20"/>
          <w:szCs w:val="20"/>
        </w:rPr>
        <w:t>Ostrowska L., Zwierz K., Koniusz Z., Gindzieński A., (1993): Rola, właściwości i znaczenie kliniczne N-acetylo-</w:t>
      </w:r>
      <w:r w:rsidRPr="00793E65">
        <w:rPr>
          <w:bCs/>
          <w:sz w:val="20"/>
          <w:szCs w:val="20"/>
        </w:rPr>
        <w:sym w:font="Symbol" w:char="F062"/>
      </w:r>
      <w:r w:rsidRPr="00793E65">
        <w:rPr>
          <w:bCs/>
          <w:sz w:val="20"/>
          <w:szCs w:val="20"/>
        </w:rPr>
        <w:t>-heksozoaminidazy. Postępy Higieny i Medycyny Doświadczalnej, t. 47, nr 1, s. 67-79.</w:t>
      </w:r>
    </w:p>
    <w:p w:rsidR="006C44B6" w:rsidRPr="00793E65" w:rsidRDefault="006C44B6">
      <w:pPr>
        <w:pStyle w:val="Tekstpodstawowy"/>
        <w:numPr>
          <w:ilvl w:val="0"/>
          <w:numId w:val="9"/>
        </w:numPr>
        <w:jc w:val="both"/>
        <w:rPr>
          <w:sz w:val="20"/>
          <w:szCs w:val="20"/>
        </w:rPr>
      </w:pPr>
      <w:r w:rsidRPr="00793E65">
        <w:rPr>
          <w:bCs/>
          <w:sz w:val="20"/>
          <w:szCs w:val="20"/>
        </w:rPr>
        <w:t>Zwierz K. (red), (1994): Ćwiczenia z Biochemii dla studentów Wydziału Farmaceutycznego Wydawnictwo Uczelniane Akademia Medyczna Białystok</w:t>
      </w:r>
    </w:p>
    <w:p w:rsidR="006C44B6" w:rsidRDefault="006C44B6">
      <w:pPr>
        <w:pStyle w:val="Tekstpodstawowy"/>
        <w:numPr>
          <w:ilvl w:val="0"/>
          <w:numId w:val="9"/>
        </w:numPr>
        <w:jc w:val="both"/>
        <w:rPr>
          <w:sz w:val="23"/>
          <w:szCs w:val="27"/>
        </w:rPr>
      </w:pPr>
      <w:r w:rsidRPr="00793E65">
        <w:rPr>
          <w:bCs/>
          <w:sz w:val="20"/>
          <w:szCs w:val="20"/>
        </w:rPr>
        <w:t>Zwierz K., Juszkiewicz J., Arciuch L., Gindzieński A., (1992):N-acetylo-</w:t>
      </w:r>
      <w:r w:rsidRPr="00793E65">
        <w:rPr>
          <w:bCs/>
          <w:sz w:val="20"/>
          <w:szCs w:val="20"/>
        </w:rPr>
        <w:sym w:font="Symbol" w:char="F062"/>
      </w:r>
      <w:r w:rsidRPr="00793E65">
        <w:rPr>
          <w:bCs/>
          <w:sz w:val="20"/>
          <w:szCs w:val="20"/>
        </w:rPr>
        <w:t>-heksozoaminidaza-enzym chorób Tay- Sachsa i Sandhoffa., Postępy Biochemii, t.38, nr 3, s. 127-132</w:t>
      </w:r>
      <w:r>
        <w:rPr>
          <w:bCs/>
          <w:sz w:val="23"/>
          <w:szCs w:val="22"/>
        </w:rPr>
        <w:t>.</w:t>
      </w:r>
    </w:p>
    <w:p w:rsidR="006C44B6" w:rsidRDefault="006C44B6">
      <w:pPr>
        <w:pStyle w:val="Tekstpodstawowy"/>
        <w:jc w:val="both"/>
        <w:rPr>
          <w:sz w:val="23"/>
          <w:szCs w:val="27"/>
        </w:rPr>
      </w:pPr>
    </w:p>
    <w:sectPr w:rsidR="006C44B6">
      <w:pgSz w:w="11907" w:h="16840" w:code="9"/>
      <w:pgMar w:top="902" w:right="624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D90"/>
    <w:multiLevelType w:val="hybridMultilevel"/>
    <w:tmpl w:val="4844D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2E4"/>
    <w:multiLevelType w:val="hybridMultilevel"/>
    <w:tmpl w:val="7B4CA424"/>
    <w:lvl w:ilvl="0" w:tplc="67B8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036"/>
    <w:multiLevelType w:val="hybridMultilevel"/>
    <w:tmpl w:val="5B80A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CE3"/>
    <w:multiLevelType w:val="hybridMultilevel"/>
    <w:tmpl w:val="1540B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76545"/>
    <w:multiLevelType w:val="hybridMultilevel"/>
    <w:tmpl w:val="BF76B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30F37"/>
    <w:multiLevelType w:val="hybridMultilevel"/>
    <w:tmpl w:val="ECA61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C25D3"/>
    <w:multiLevelType w:val="hybridMultilevel"/>
    <w:tmpl w:val="78E43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54C4"/>
    <w:multiLevelType w:val="hybridMultilevel"/>
    <w:tmpl w:val="E984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1A6E"/>
    <w:multiLevelType w:val="hybridMultilevel"/>
    <w:tmpl w:val="0B341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129F4"/>
    <w:multiLevelType w:val="hybridMultilevel"/>
    <w:tmpl w:val="50984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91D23"/>
    <w:multiLevelType w:val="hybridMultilevel"/>
    <w:tmpl w:val="93D2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4419"/>
    <w:multiLevelType w:val="hybridMultilevel"/>
    <w:tmpl w:val="F508D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8F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C6B20"/>
    <w:multiLevelType w:val="hybridMultilevel"/>
    <w:tmpl w:val="BD702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25B78"/>
    <w:multiLevelType w:val="hybridMultilevel"/>
    <w:tmpl w:val="B17EC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57C38"/>
    <w:multiLevelType w:val="multilevel"/>
    <w:tmpl w:val="087C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4B34D9E"/>
    <w:multiLevelType w:val="hybridMultilevel"/>
    <w:tmpl w:val="46C21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131DB"/>
    <w:multiLevelType w:val="hybridMultilevel"/>
    <w:tmpl w:val="4F50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57A79"/>
    <w:multiLevelType w:val="hybridMultilevel"/>
    <w:tmpl w:val="522A865C"/>
    <w:lvl w:ilvl="0" w:tplc="C4184D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4D64033"/>
    <w:multiLevelType w:val="hybridMultilevel"/>
    <w:tmpl w:val="22383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47AD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DCC5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FB1F68"/>
    <w:multiLevelType w:val="hybridMultilevel"/>
    <w:tmpl w:val="8C7E4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E654A"/>
    <w:multiLevelType w:val="hybridMultilevel"/>
    <w:tmpl w:val="EF121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429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F6FE0"/>
    <w:multiLevelType w:val="hybridMultilevel"/>
    <w:tmpl w:val="ACD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3"/>
  </w:num>
  <w:num w:numId="5">
    <w:abstractNumId w:val="9"/>
  </w:num>
  <w:num w:numId="6">
    <w:abstractNumId w:val="0"/>
  </w:num>
  <w:num w:numId="7">
    <w:abstractNumId w:val="13"/>
  </w:num>
  <w:num w:numId="8">
    <w:abstractNumId w:val="4"/>
  </w:num>
  <w:num w:numId="9">
    <w:abstractNumId w:val="21"/>
  </w:num>
  <w:num w:numId="10">
    <w:abstractNumId w:val="8"/>
  </w:num>
  <w:num w:numId="11">
    <w:abstractNumId w:val="12"/>
  </w:num>
  <w:num w:numId="12">
    <w:abstractNumId w:val="5"/>
  </w:num>
  <w:num w:numId="13">
    <w:abstractNumId w:val="17"/>
  </w:num>
  <w:num w:numId="14">
    <w:abstractNumId w:val="19"/>
  </w:num>
  <w:num w:numId="15">
    <w:abstractNumId w:val="10"/>
  </w:num>
  <w:num w:numId="16">
    <w:abstractNumId w:val="1"/>
  </w:num>
  <w:num w:numId="17">
    <w:abstractNumId w:val="15"/>
  </w:num>
  <w:num w:numId="18">
    <w:abstractNumId w:val="16"/>
  </w:num>
  <w:num w:numId="19">
    <w:abstractNumId w:val="7"/>
  </w:num>
  <w:num w:numId="20">
    <w:abstractNumId w:val="6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7C3FD3"/>
    <w:rsid w:val="00260538"/>
    <w:rsid w:val="006C44B6"/>
    <w:rsid w:val="00793E65"/>
    <w:rsid w:val="007C3FD3"/>
    <w:rsid w:val="00E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7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3">
    <w:name w:val="Body Text 3"/>
    <w:basedOn w:val="Normalny"/>
    <w:semiHidden/>
    <w:rPr>
      <w:sz w:val="23"/>
      <w:szCs w:val="23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ind w:firstLine="540"/>
      <w:jc w:val="both"/>
    </w:pPr>
    <w:rPr>
      <w:sz w:val="23"/>
      <w:szCs w:val="23"/>
    </w:rPr>
  </w:style>
  <w:style w:type="paragraph" w:styleId="Tytu">
    <w:name w:val="Title"/>
    <w:basedOn w:val="Normalny"/>
    <w:qFormat/>
    <w:pPr>
      <w:jc w:val="center"/>
    </w:pPr>
    <w:rPr>
      <w:b/>
      <w:bCs/>
      <w:sz w:val="23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Ćwiczenie 6</vt:lpstr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6</dc:title>
  <dc:subject/>
  <dc:creator>PRV</dc:creator>
  <cp:keywords/>
  <dc:description/>
  <cp:lastModifiedBy>umwb</cp:lastModifiedBy>
  <cp:revision>2</cp:revision>
  <cp:lastPrinted>2011-11-03T10:00:00Z</cp:lastPrinted>
  <dcterms:created xsi:type="dcterms:W3CDTF">2017-04-06T09:05:00Z</dcterms:created>
  <dcterms:modified xsi:type="dcterms:W3CDTF">2017-04-06T09:05:00Z</dcterms:modified>
</cp:coreProperties>
</file>