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Regulamin obowiązujący na zajęciach laboratoryjnych z Biochemii</w:t>
      </w:r>
    </w:p>
    <w:p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w Zakładzie Biochemii Farmaceutycznej</w:t>
      </w:r>
    </w:p>
    <w:p w:rsidR="000C739D" w:rsidRPr="000C739D" w:rsidRDefault="000C739D" w:rsidP="00613B9E">
      <w:pPr>
        <w:shd w:val="clear" w:color="auto" w:fill="FFFFFF"/>
        <w:spacing w:after="0" w:line="240" w:lineRule="auto"/>
        <w:ind w:left="357"/>
        <w:jc w:val="center"/>
        <w:outlineLvl w:val="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0C739D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Uniwersytetu Medycznego w Białymstoku</w:t>
      </w:r>
    </w:p>
    <w:p w:rsidR="006F7EFA" w:rsidRPr="009005DC" w:rsidRDefault="006F7EFA" w:rsidP="00613B9E">
      <w:pPr>
        <w:spacing w:after="0"/>
        <w:ind w:firstLine="45"/>
        <w:jc w:val="center"/>
        <w:rPr>
          <w:rFonts w:cstheme="minorHAnsi"/>
        </w:rPr>
      </w:pPr>
    </w:p>
    <w:p w:rsid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Zajęcia dydaktyczne z zakresu Biochemii dla studentów odbywają się w wymiarze godzin przewidzianym programem studiów przez Ministerstwo Nauki i Szkolnictwa Wyższego.</w:t>
      </w:r>
    </w:p>
    <w:p w:rsidR="00A43D06" w:rsidRPr="00A43D06" w:rsidRDefault="00A43D06" w:rsidP="00A43D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A43D06">
        <w:rPr>
          <w:rFonts w:asciiTheme="minorHAnsi" w:eastAsia="Times New Roman" w:hAnsiTheme="minorHAnsi" w:cstheme="minorHAnsi"/>
          <w:color w:val="333333"/>
        </w:rPr>
        <w:t xml:space="preserve">Treści programowe wykładów oraz ćwiczeń  z przedmiotu biochemia podane  są na stronie internetowej: </w:t>
      </w:r>
      <w:hyperlink r:id="rId5" w:history="1">
        <w:r w:rsidRPr="00A43D06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  <w:r w:rsidRPr="00A43D06">
        <w:rPr>
          <w:rFonts w:asciiTheme="minorHAnsi" w:eastAsia="Times New Roman" w:hAnsiTheme="minorHAnsi" w:cstheme="minorHAnsi"/>
          <w:color w:val="333333"/>
        </w:rPr>
        <w:t xml:space="preserve"> i w gablocie przed wejściem do Zakładu Biochemii Farmaceutycznej. </w:t>
      </w:r>
    </w:p>
    <w:p w:rsidR="00A43D06" w:rsidRPr="00A43D06" w:rsidRDefault="00A43D06" w:rsidP="00A43D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A43D06">
        <w:rPr>
          <w:rFonts w:eastAsia="Times New Roman" w:cstheme="minorHAnsi"/>
          <w:color w:val="333333"/>
        </w:rPr>
        <w:t xml:space="preserve">Skład Zespołu Dydaktycznego znajduje się na stronie internetowej Zakładu: </w:t>
      </w:r>
      <w:hyperlink r:id="rId6" w:history="1">
        <w:r w:rsidRPr="00A43D06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</w:p>
    <w:p w:rsidR="006F7EFA" w:rsidRPr="009005DC" w:rsidRDefault="00E57AA4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A43D06">
        <w:rPr>
          <w:rFonts w:cstheme="minorHAnsi"/>
          <w:color w:val="000000" w:themeColor="text1"/>
        </w:rPr>
        <w:t>Zajęcia laboratoryjne odbywają się w salach ćwiczeniowych Zakładu Biochemii Farmaceutycznej. Przed wejśc</w:t>
      </w:r>
      <w:r w:rsidRPr="009005DC">
        <w:rPr>
          <w:rFonts w:cstheme="minorHAnsi"/>
          <w:color w:val="000000" w:themeColor="text1"/>
        </w:rPr>
        <w:t>iem do pracowni należy nałożyć biały fartuch ochronny, miękkie obuwie oraz zdezynfekować ręce</w:t>
      </w:r>
      <w:r w:rsidR="00A43D06">
        <w:rPr>
          <w:rFonts w:cstheme="minorHAnsi"/>
          <w:color w:val="000000" w:themeColor="text1"/>
        </w:rPr>
        <w:t xml:space="preserve">. </w:t>
      </w:r>
      <w:r w:rsidRPr="009005DC">
        <w:rPr>
          <w:rFonts w:cstheme="minorHAnsi"/>
          <w:color w:val="000000" w:themeColor="text1"/>
        </w:rPr>
        <w:t>Do pracowni należy zabrać jedynie rzeczy niezbędne, jak skrypt do ćwiczeń, materiały piśmienne oraz kalkulator.</w:t>
      </w:r>
    </w:p>
    <w:p w:rsidR="00E57AA4" w:rsidRPr="009005DC" w:rsidRDefault="00E57AA4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zajęciach dydaktycznych nie powinni uczestniczyć studenci, którzy stwierdzili u siebie niepokojące objawy (temperatura ciał</w:t>
      </w:r>
      <w:r w:rsidR="001D3A57">
        <w:rPr>
          <w:rFonts w:cstheme="minorHAnsi"/>
          <w:color w:val="000000" w:themeColor="text1"/>
        </w:rPr>
        <w:t>a powyżej 37,5°C, suchy kaszel,</w:t>
      </w:r>
      <w:r w:rsidRPr="009005DC">
        <w:rPr>
          <w:rFonts w:cstheme="minorHAnsi"/>
          <w:color w:val="000000" w:themeColor="text1"/>
        </w:rPr>
        <w:t xml:space="preserve"> duszność, zaburzenia węchu lub smaku).</w:t>
      </w:r>
    </w:p>
    <w:p w:rsidR="00E57AA4" w:rsidRPr="009005DC" w:rsidRDefault="00E57AA4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Osoby uczestniczące w zajęciach zobowiązane są stosować się do wytycznych sanitarnych zawartych w przepisach powszechnych oraz wydanych przez GIS i inne uprawnione podmioty, jak również do Zarządzeń Rektora Uniwersytetu Medycznego w Białymstoku nr 51/2020 oraz 86/2020 z dnia 4.06/09.09. 2020r.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Na każde ćwiczenie obowiązuje znajomość części praktycznej oraz materiału wykładowego z poprzedniego tygodnia.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Student jest zobowiązany uczestniczyć we wszystkich zajęciach. W przypadku nieobecności należy ją usprawiedliwić bezpośrednio po ustąpieniu przyczyn nieobecności, najpóźniej na pierwszym ćwiczeniu, w którym student uczestniczy po okresie nieobecności. Honorowane będą tylko zwolnienia lekarskie lub dziekańskie.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pracowni należy unikać zbędnych rozmów, nie wolno spożywać pokarmów oraz napojów.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 sali ćwiczeniowej student może przebywać jedynie w obecności asystenta. W trakcie zajęć nie wolno opuszczać sali ćwiczeniowej bez zgody asystenta.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Na pierwszym ćwiczeniu student zobowiązany jest do zapoznania się z regulaminem ćwiczeń oraz przepisami BHP.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Student, który nie odbył szkolenia w zakresie BHP nie może uczestniczyć w zajęciach praktycznych.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9005DC">
        <w:rPr>
          <w:rFonts w:cstheme="minorHAnsi"/>
          <w:color w:val="000000" w:themeColor="text1"/>
        </w:rPr>
        <w:t>Wykonując doświadczenia należy oszczędnie użytkować odczynniki chemiczne. Do doświadczeń brać możliwie mało odczynników (najlepiej tyle ile jest podane w instrukcji do wykonywanego doświadczenia lub wg wskazówek osoby prowadzącej ćwiczenia). Nie wolno zlewać odczynników z powrotem do butelek, ani też zamieniać korków i pipet.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Należy dbać o czystość miejsca pracy. Na stole i półkach z odczynnikami powinien panować porządek. Rozlane kwasy natychmiast zneutralizować 5% NaHCO</w:t>
      </w:r>
      <w:r w:rsidRPr="009005DC">
        <w:rPr>
          <w:rFonts w:cstheme="minorHAnsi"/>
          <w:vertAlign w:val="subscript"/>
        </w:rPr>
        <w:t>3</w:t>
      </w:r>
      <w:r w:rsidRPr="009005DC">
        <w:rPr>
          <w:rFonts w:cstheme="minorHAnsi"/>
        </w:rPr>
        <w:t>, a zasady 1% kwasem octowym, a następnie zmyć wodą.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Wszelkie odpadki stałe (papier, szkło) należy wrzucać do </w:t>
      </w:r>
      <w:r w:rsidR="001D3A57">
        <w:rPr>
          <w:rFonts w:cstheme="minorHAnsi"/>
        </w:rPr>
        <w:t>kosza na odpady</w:t>
      </w:r>
      <w:r w:rsidRPr="009005DC">
        <w:rPr>
          <w:rFonts w:cstheme="minorHAnsi"/>
        </w:rPr>
        <w:t>, natomiast stężone kwasy i zasady wylewać do zlewu na bieżącą wodę.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Wszelkie prace z substancjami łatwopalnymi, lotnymi oraz stężonymi kwasami i zasadami należy wykonywać pod wyciągiem i z zachowaniem szczególnych środków ostrożności. Stężonych kwasów i zasad, trucizn oraz roztworów lotnych nie wolno aspirować ustami. Zużyte odczynniki wylewać do zlewu w taki sposób, aby uniknąć poparzenia przez odbite od ścianek zlewu krople płynu. Natychmiast spłukiwać zlew bieżąca wodą. Płynami łatwopalnymi posługiwać się wtedy, gdy paniki gazowe są zgaszone i nie ma żadnych innych źródeł otwartego ognia. Po użyciu płynów naczynia szczelnie zamykać.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 przypadku poparzenia lub skaleczenia natychmiast zgłosić fakt osobie prowadzącej ćwiczenia. W przypadku poparzenia płynami żrącymi (stężone kwasy lub zasady) natychmiast obficie zmyć oblaną powierzchnię ciała wodą wodociągową i zgłosić osobie prowadzącej ćwiczenia. Następnie zobojętnić: kwasy 5% NaHCO</w:t>
      </w:r>
      <w:r w:rsidRPr="009005DC">
        <w:rPr>
          <w:rFonts w:cstheme="minorHAnsi"/>
          <w:vertAlign w:val="subscript"/>
        </w:rPr>
        <w:t>3</w:t>
      </w:r>
      <w:r w:rsidRPr="009005DC">
        <w:rPr>
          <w:rFonts w:cstheme="minorHAnsi"/>
        </w:rPr>
        <w:t>, a zasady 1% kwasem octowym.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Należy umiejętnie korzystać z instalacji gazowej. Przy zapalaniu palnika gazowego zamknąć dopływ powietrza, następnie zbliżyć zapaloną zapałkę do wylotu kominka i powoli otworzyć kurek gazowy. Następnie uregulować dopływ powietrza (płomień nie powinien huczeć i kopcić). Niepotrzebne palniki należy natychmiast zgasić.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lastRenderedPageBreak/>
        <w:t>W razie zapalenia się mieszaniny reakcyjnej, stołu lub fartucha ochronnego natychmiast zawiadomić osobę prowadzącą ćwiczenia i gasić przykrywając ogień kocem gaśniczym (koc wisi na ścianie w sali ćwiczeniowej).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Po ukończeniu ćwiczenia każdy student powinien uporządkować swoje stanowisko pracy, umyć szkło laboratoryjne oraz umieścić butelki z odczynnikami i pojemniki z substancjami na właściwym miejscu, sprawdzić czy zamknięte są kurki gazowe i zakręcone krany wodne i zameldować o wykonaniu zadania osobie dyżurnej. Dyżurny melduje o uporządkowaniu stanowisk pracy swojej grupy osobie prowadzącej ćwiczenia.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Zaliczenie poszczególnych ćwiczeń odbywa się na podstawie uzyskania pozytywnej oceny z kartkówki sprawdzającej wiadomości dotyczące bieżącego ćwiczenia oraz wykładu poprzedzającego ćwiczenie.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Student na poszczególnych ćwiczeniach oceniany będzie z zakresu: wiedzy, umiejętności oraz kompetencji.  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 xml:space="preserve">System oceniania wiadomości z zakresu wiedzy, umiejętności i kompetencji na ćwiczeniach opiera się o skalę ocen: 5 – </w:t>
      </w:r>
      <w:r w:rsidRPr="009005DC">
        <w:rPr>
          <w:rFonts w:cstheme="minorHAnsi"/>
          <w:b/>
          <w:bCs/>
        </w:rPr>
        <w:t>bardzo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4,5 – </w:t>
      </w:r>
      <w:r w:rsidRPr="009005DC">
        <w:rPr>
          <w:rFonts w:cstheme="minorHAnsi"/>
          <w:b/>
          <w:bCs/>
        </w:rPr>
        <w:t>ponad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4 –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3,5 – </w:t>
      </w:r>
      <w:r w:rsidRPr="009005DC">
        <w:rPr>
          <w:rFonts w:cstheme="minorHAnsi"/>
          <w:b/>
          <w:bCs/>
        </w:rPr>
        <w:t>dość</w:t>
      </w:r>
      <w:r w:rsidRPr="009005DC">
        <w:rPr>
          <w:rFonts w:cstheme="minorHAnsi"/>
          <w:bCs/>
        </w:rPr>
        <w:t xml:space="preserve"> </w:t>
      </w:r>
      <w:r w:rsidRPr="009005DC">
        <w:rPr>
          <w:rFonts w:cstheme="minorHAnsi"/>
          <w:b/>
          <w:bCs/>
        </w:rPr>
        <w:t>dobra</w:t>
      </w:r>
      <w:r w:rsidRPr="009005DC">
        <w:rPr>
          <w:rFonts w:cstheme="minorHAnsi"/>
        </w:rPr>
        <w:t xml:space="preserve">, 3 – </w:t>
      </w:r>
      <w:r w:rsidRPr="009005DC">
        <w:rPr>
          <w:rFonts w:cstheme="minorHAnsi"/>
          <w:b/>
          <w:bCs/>
        </w:rPr>
        <w:t>dostateczna</w:t>
      </w:r>
      <w:r w:rsidRPr="009005DC">
        <w:rPr>
          <w:rFonts w:cstheme="minorHAnsi"/>
        </w:rPr>
        <w:t xml:space="preserve">, 2 – </w:t>
      </w:r>
      <w:r w:rsidRPr="009005DC">
        <w:rPr>
          <w:rFonts w:cstheme="minorHAnsi"/>
          <w:b/>
          <w:bCs/>
        </w:rPr>
        <w:t>niedostateczna</w:t>
      </w:r>
      <w:r w:rsidRPr="009005DC">
        <w:rPr>
          <w:rFonts w:cstheme="minorHAnsi"/>
        </w:rPr>
        <w:t>.</w:t>
      </w:r>
    </w:p>
    <w:p w:rsidR="00A43D06" w:rsidRPr="009005DC" w:rsidRDefault="00A43D06" w:rsidP="00A43D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Otrzymanie oceny niedostatecznej upoważnia studenta do przystąpienia do poprawy w terminie nie przekraczającym dwóch tygodni od daty otrzymania oceny negatywnej.</w:t>
      </w:r>
    </w:p>
    <w:p w:rsidR="001211F9" w:rsidRPr="009005DC" w:rsidRDefault="001211F9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Zakazane jest korzystanie przez studentów podczas egzaminów, i innych form sprawdzania wiedzy z niedozwolonych form pomocy (Zarządzenie nr 9/2019 Rektora UMB z dnia 5.02.2019)</w:t>
      </w:r>
    </w:p>
    <w:p w:rsidR="001211F9" w:rsidRPr="009005DC" w:rsidRDefault="001211F9" w:rsidP="00A43D0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9005DC">
        <w:rPr>
          <w:rFonts w:cstheme="minorHAnsi"/>
        </w:rPr>
        <w:t xml:space="preserve">Za niedozwolone formy pomocy uważa się między innymi:  </w:t>
      </w:r>
    </w:p>
    <w:p w:rsidR="001211F9" w:rsidRPr="009005DC" w:rsidRDefault="001211F9" w:rsidP="00A43D06">
      <w:pPr>
        <w:pStyle w:val="Akapitzlist"/>
        <w:spacing w:after="0" w:line="276" w:lineRule="auto"/>
        <w:jc w:val="both"/>
        <w:rPr>
          <w:rFonts w:cstheme="minorHAnsi"/>
        </w:rPr>
      </w:pPr>
      <w:r w:rsidRPr="009005DC">
        <w:rPr>
          <w:rFonts w:cstheme="minorHAnsi"/>
        </w:rPr>
        <w:t>- wnoszenie na egzaminy i inne formy sprawdzania wiedzy telefonów komórkowych, innych urządzeń telekomunikacyjnych, podręczników, notatek itp.</w:t>
      </w:r>
    </w:p>
    <w:p w:rsidR="001211F9" w:rsidRPr="009005DC" w:rsidRDefault="001211F9" w:rsidP="00A43D06">
      <w:pPr>
        <w:pStyle w:val="Akapitzlist"/>
        <w:spacing w:after="0" w:line="276" w:lineRule="auto"/>
        <w:jc w:val="both"/>
        <w:rPr>
          <w:rFonts w:cstheme="minorHAnsi"/>
        </w:rPr>
      </w:pPr>
      <w:r w:rsidRPr="009005DC">
        <w:rPr>
          <w:rFonts w:cstheme="minorHAnsi"/>
        </w:rPr>
        <w:t>-</w:t>
      </w:r>
      <w:r w:rsidR="00D5497B">
        <w:rPr>
          <w:rFonts w:cstheme="minorHAnsi"/>
        </w:rPr>
        <w:t xml:space="preserve"> korzystanie podczas egzaminów </w:t>
      </w:r>
      <w:r w:rsidRPr="009005DC">
        <w:rPr>
          <w:rFonts w:cstheme="minorHAnsi"/>
        </w:rPr>
        <w:t>i innych form sprawdzania wiedzy, z telefonów komórkowych i urządzeń telekomunikacyjnych, podręczników, notatek itp.</w:t>
      </w:r>
    </w:p>
    <w:p w:rsidR="001211F9" w:rsidRPr="009005DC" w:rsidRDefault="001211F9" w:rsidP="00A43D06">
      <w:pPr>
        <w:pStyle w:val="Akapitzlist"/>
        <w:spacing w:after="0" w:line="276" w:lineRule="auto"/>
        <w:jc w:val="both"/>
        <w:rPr>
          <w:rFonts w:cstheme="minorHAnsi"/>
        </w:rPr>
      </w:pPr>
      <w:r w:rsidRPr="009005DC">
        <w:rPr>
          <w:rFonts w:cstheme="minorHAnsi"/>
        </w:rPr>
        <w:t xml:space="preserve">- korzystanie z pomocy innych osób, o ile korzystanie z takiej pomocy nie wynika </w:t>
      </w:r>
      <w:r w:rsidRPr="009005DC">
        <w:rPr>
          <w:rFonts w:cstheme="minorHAnsi"/>
        </w:rPr>
        <w:br/>
        <w:t>z obowiązujących przepisów lub zasad egzaminu, sprawdzianu lub innych form sprawdzania wiedzy.</w:t>
      </w:r>
    </w:p>
    <w:p w:rsidR="00E57AA4" w:rsidRPr="009005DC" w:rsidRDefault="001211F9" w:rsidP="009005DC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9005DC">
        <w:rPr>
          <w:rFonts w:cstheme="minorHAnsi"/>
        </w:rPr>
        <w:t>W przypadku stwierdzenia korzystania przez studenta z niedozwolonej formy pomocy, należy niezwłocznie przerwać egzamin tej osoby i zawiadomić o powyższym Rektora celem wszczęcia postępowania dyscyplinarnego i zawiadomienia organów ścigania o podejrzeniu popełnienia przestępstwa. Przerwanie egzaminu skutkuje oceną niedostateczną.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Egzamin obejmuje treści programowe zawarte w wykładach</w:t>
      </w:r>
      <w:r w:rsidR="008E3619">
        <w:rPr>
          <w:rFonts w:cstheme="minorHAnsi"/>
        </w:rPr>
        <w:t xml:space="preserve">, </w:t>
      </w:r>
      <w:r w:rsidRPr="009005DC">
        <w:rPr>
          <w:rFonts w:cstheme="minorHAnsi"/>
        </w:rPr>
        <w:t>ćwiczeniach</w:t>
      </w:r>
      <w:r w:rsidR="008E3619">
        <w:rPr>
          <w:rFonts w:cstheme="minorHAnsi"/>
        </w:rPr>
        <w:t>, seminariach</w:t>
      </w:r>
      <w:r w:rsidRPr="009005DC">
        <w:rPr>
          <w:rFonts w:cstheme="minorHAnsi"/>
        </w:rPr>
        <w:t>.</w:t>
      </w:r>
    </w:p>
    <w:p w:rsidR="00DA6FC5" w:rsidRDefault="00DA6FC5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</w:rPr>
        <w:t>Zwolnienia lekarskie z nieobecności na egzaminie należy dostarczyć w formie papierowej do Zakładu w terminie nie przekraczającym dw</w:t>
      </w:r>
      <w:r w:rsidR="00B376DB">
        <w:rPr>
          <w:rFonts w:eastAsia="Times New Roman" w:cstheme="minorHAnsi"/>
        </w:rPr>
        <w:t>óch</w:t>
      </w:r>
      <w:r>
        <w:rPr>
          <w:rFonts w:eastAsia="Times New Roman" w:cstheme="minorHAnsi"/>
        </w:rPr>
        <w:t xml:space="preserve"> tygodni</w:t>
      </w:r>
      <w:bookmarkStart w:id="0" w:name="_GoBack"/>
      <w:bookmarkEnd w:id="0"/>
      <w:r>
        <w:rPr>
          <w:rFonts w:eastAsia="Times New Roman" w:cstheme="minorHAnsi"/>
        </w:rPr>
        <w:t>.</w:t>
      </w:r>
    </w:p>
    <w:p w:rsidR="006F7EFA" w:rsidRPr="009005DC" w:rsidRDefault="006F7EFA" w:rsidP="009005DC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005DC">
        <w:rPr>
          <w:rFonts w:cstheme="minorHAnsi"/>
        </w:rPr>
        <w:t>Warunkiem zaliczenia przedmiotu jest uzyskanie przez studenta pozytywnej oceny z egzaminu.</w:t>
      </w:r>
    </w:p>
    <w:p w:rsidR="001737C6" w:rsidRPr="009005DC" w:rsidRDefault="001737C6" w:rsidP="006F7EFA">
      <w:pPr>
        <w:spacing w:after="0"/>
        <w:jc w:val="both"/>
        <w:rPr>
          <w:rFonts w:cstheme="minorHAnsi"/>
        </w:rPr>
      </w:pPr>
    </w:p>
    <w:sectPr w:rsidR="001737C6" w:rsidRPr="009005DC" w:rsidSect="0090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C82145"/>
    <w:multiLevelType w:val="hybridMultilevel"/>
    <w:tmpl w:val="AC640F2C"/>
    <w:lvl w:ilvl="0" w:tplc="6428E9FA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73ECB"/>
    <w:multiLevelType w:val="hybridMultilevel"/>
    <w:tmpl w:val="50729592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804"/>
    <w:multiLevelType w:val="hybridMultilevel"/>
    <w:tmpl w:val="CB900D72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0956"/>
    <w:multiLevelType w:val="multilevel"/>
    <w:tmpl w:val="955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B2D12"/>
    <w:multiLevelType w:val="hybridMultilevel"/>
    <w:tmpl w:val="88C439E4"/>
    <w:lvl w:ilvl="0" w:tplc="DA382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3D2"/>
    <w:multiLevelType w:val="hybridMultilevel"/>
    <w:tmpl w:val="6616CA56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A"/>
    <w:rsid w:val="000335D9"/>
    <w:rsid w:val="000C739D"/>
    <w:rsid w:val="000F76D9"/>
    <w:rsid w:val="001211F9"/>
    <w:rsid w:val="001737C6"/>
    <w:rsid w:val="001D3A57"/>
    <w:rsid w:val="00282A4E"/>
    <w:rsid w:val="003F2D6B"/>
    <w:rsid w:val="004972AA"/>
    <w:rsid w:val="00613B9E"/>
    <w:rsid w:val="00625B50"/>
    <w:rsid w:val="006F7EFA"/>
    <w:rsid w:val="008B3DD5"/>
    <w:rsid w:val="008E3619"/>
    <w:rsid w:val="009005DC"/>
    <w:rsid w:val="00A43D06"/>
    <w:rsid w:val="00AE3BC9"/>
    <w:rsid w:val="00B376DB"/>
    <w:rsid w:val="00B97059"/>
    <w:rsid w:val="00D5497B"/>
    <w:rsid w:val="00DA6FC5"/>
    <w:rsid w:val="00E57AA4"/>
    <w:rsid w:val="00EF15A3"/>
    <w:rsid w:val="00F7427B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44A"/>
  <w15:docId w15:val="{60ECA616-0779-432A-9D03-C7DBE41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05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41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338076788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5024041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122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1925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701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43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066879017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522095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9161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743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2750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wf/zaklad-biochemii-farmaceutycznej" TargetMode="External"/><Relationship Id="rId5" Type="http://schemas.openxmlformats.org/officeDocument/2006/relationships/hyperlink" Target="https://www.umb.edu.pl/wf/zaklad-biochemii-farmaceuty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Borzym-Kluczyk</cp:lastModifiedBy>
  <cp:revision>7</cp:revision>
  <cp:lastPrinted>2020-09-30T10:57:00Z</cp:lastPrinted>
  <dcterms:created xsi:type="dcterms:W3CDTF">2023-09-05T06:58:00Z</dcterms:created>
  <dcterms:modified xsi:type="dcterms:W3CDTF">2023-09-21T11:50:00Z</dcterms:modified>
</cp:coreProperties>
</file>