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EC0" w:rsidRDefault="00E90EC0" w:rsidP="00E90EC0">
      <w:pPr>
        <w:pStyle w:val="Tekstpodstawowy"/>
        <w:jc w:val="both"/>
        <w:rPr>
          <w:b/>
          <w:bCs/>
          <w:sz w:val="23"/>
          <w:szCs w:val="23"/>
        </w:rPr>
      </w:pPr>
    </w:p>
    <w:p w:rsidR="00E90EC0" w:rsidRPr="003834C2" w:rsidRDefault="00E90EC0" w:rsidP="003834C2">
      <w:pPr>
        <w:pStyle w:val="Tekstpodstawowy"/>
        <w:jc w:val="center"/>
        <w:rPr>
          <w:b/>
          <w:szCs w:val="28"/>
        </w:rPr>
      </w:pPr>
      <w:r w:rsidRPr="003834C2">
        <w:rPr>
          <w:b/>
          <w:szCs w:val="28"/>
        </w:rPr>
        <w:t>Oksydacyjna dekarboksylacja pirogronianu</w:t>
      </w:r>
    </w:p>
    <w:p w:rsidR="00E90EC0" w:rsidRPr="003834C2" w:rsidRDefault="00E90EC0" w:rsidP="00E90EC0">
      <w:pPr>
        <w:pStyle w:val="Tekstpodstawowy"/>
        <w:jc w:val="both"/>
        <w:rPr>
          <w:b/>
          <w:i/>
          <w:szCs w:val="28"/>
        </w:rPr>
      </w:pPr>
    </w:p>
    <w:p w:rsidR="00E90EC0" w:rsidRPr="003834C2" w:rsidRDefault="00E90EC0" w:rsidP="00E90EC0">
      <w:pPr>
        <w:jc w:val="both"/>
        <w:rPr>
          <w:b/>
          <w:sz w:val="28"/>
          <w:szCs w:val="28"/>
        </w:rPr>
      </w:pPr>
    </w:p>
    <w:p w:rsidR="00E90EC0" w:rsidRDefault="00E90EC0" w:rsidP="00E90EC0">
      <w:pPr>
        <w:pStyle w:val="Tekstpodstawowy2"/>
        <w:jc w:val="both"/>
        <w:rPr>
          <w:b w:val="0"/>
          <w:bCs w:val="0"/>
          <w:iCs/>
          <w:sz w:val="23"/>
        </w:rPr>
      </w:pPr>
      <w:r>
        <w:rPr>
          <w:b w:val="0"/>
          <w:bCs w:val="0"/>
          <w:iCs/>
          <w:sz w:val="23"/>
        </w:rPr>
        <w:t xml:space="preserve">Kwas pirogronowy powstaje głównie w procesie glikolizy i deaminacji alaniny. W fizjologicznym pH występuje w postaci zdysocjowanej, jako anion zwany </w:t>
      </w:r>
      <w:r>
        <w:rPr>
          <w:bCs w:val="0"/>
          <w:iCs/>
          <w:sz w:val="23"/>
        </w:rPr>
        <w:t>pirogronianem</w:t>
      </w:r>
      <w:r>
        <w:rPr>
          <w:b w:val="0"/>
          <w:bCs w:val="0"/>
          <w:iCs/>
          <w:sz w:val="23"/>
        </w:rPr>
        <w:t xml:space="preserve"> i ulega wielokierunkowym przemianom. </w:t>
      </w:r>
    </w:p>
    <w:p w:rsidR="00E90EC0" w:rsidRDefault="00E90EC0" w:rsidP="00E90EC0">
      <w:pPr>
        <w:pStyle w:val="Tekstpodstawowy2"/>
        <w:ind w:left="284"/>
        <w:jc w:val="both"/>
        <w:rPr>
          <w:b w:val="0"/>
          <w:bCs w:val="0"/>
          <w:iCs/>
          <w:sz w:val="23"/>
        </w:rPr>
      </w:pPr>
    </w:p>
    <w:p w:rsidR="00E90EC0" w:rsidRDefault="00E90EC0" w:rsidP="00E90EC0">
      <w:pPr>
        <w:pStyle w:val="Tekstpodstawowy2"/>
        <w:tabs>
          <w:tab w:val="left" w:pos="567"/>
        </w:tabs>
        <w:ind w:firstLine="708"/>
        <w:jc w:val="both"/>
        <w:rPr>
          <w:b w:val="0"/>
          <w:bCs w:val="0"/>
          <w:iCs/>
          <w:sz w:val="23"/>
        </w:rPr>
      </w:pPr>
      <w:r>
        <w:rPr>
          <w:b w:val="0"/>
          <w:bCs w:val="0"/>
          <w:iCs/>
          <w:sz w:val="23"/>
        </w:rPr>
        <w:t xml:space="preserve">Większość pirogronianu jest przekształcana w macierzy mitochondrialnej do acetylo~S-CoA, w procesie </w:t>
      </w:r>
      <w:r>
        <w:rPr>
          <w:bCs w:val="0"/>
          <w:iCs/>
          <w:sz w:val="23"/>
        </w:rPr>
        <w:t>oksydacyjnej dekarboksylacji</w:t>
      </w:r>
      <w:r>
        <w:rPr>
          <w:b w:val="0"/>
          <w:bCs w:val="0"/>
          <w:iCs/>
          <w:sz w:val="23"/>
        </w:rPr>
        <w:t xml:space="preserve">, katalizowanej przez wieloenzymatyczny kompleks, określany mianem </w:t>
      </w:r>
      <w:r>
        <w:rPr>
          <w:bCs w:val="0"/>
          <w:iCs/>
          <w:sz w:val="23"/>
        </w:rPr>
        <w:t>dehydrogenazy pirogronianowej</w:t>
      </w:r>
      <w:r>
        <w:rPr>
          <w:b w:val="0"/>
          <w:bCs w:val="0"/>
          <w:iCs/>
          <w:sz w:val="23"/>
        </w:rPr>
        <w:t xml:space="preserve">. W skład tego kompleksu wchodzi </w:t>
      </w:r>
      <w:r>
        <w:rPr>
          <w:b w:val="0"/>
          <w:bCs w:val="0"/>
          <w:i/>
          <w:iCs/>
          <w:sz w:val="23"/>
        </w:rPr>
        <w:t>dekarboksylaza pirogronianowa</w:t>
      </w:r>
      <w:r>
        <w:rPr>
          <w:b w:val="0"/>
          <w:bCs w:val="0"/>
          <w:iCs/>
          <w:sz w:val="23"/>
        </w:rPr>
        <w:t xml:space="preserve"> (E</w:t>
      </w:r>
      <w:r>
        <w:rPr>
          <w:b w:val="0"/>
          <w:bCs w:val="0"/>
          <w:iCs/>
          <w:sz w:val="23"/>
          <w:vertAlign w:val="subscript"/>
        </w:rPr>
        <w:t>1</w:t>
      </w:r>
      <w:r>
        <w:rPr>
          <w:b w:val="0"/>
          <w:bCs w:val="0"/>
          <w:iCs/>
          <w:sz w:val="23"/>
        </w:rPr>
        <w:t xml:space="preserve">), </w:t>
      </w:r>
      <w:r>
        <w:rPr>
          <w:b w:val="0"/>
          <w:bCs w:val="0"/>
          <w:i/>
          <w:iCs/>
          <w:sz w:val="23"/>
        </w:rPr>
        <w:t>transacetylaza dihydrolipoilowa</w:t>
      </w:r>
      <w:r>
        <w:rPr>
          <w:b w:val="0"/>
          <w:bCs w:val="0"/>
          <w:iCs/>
          <w:sz w:val="23"/>
        </w:rPr>
        <w:t xml:space="preserve"> (E</w:t>
      </w:r>
      <w:r>
        <w:rPr>
          <w:b w:val="0"/>
          <w:bCs w:val="0"/>
          <w:iCs/>
          <w:sz w:val="23"/>
          <w:vertAlign w:val="subscript"/>
        </w:rPr>
        <w:t>2</w:t>
      </w:r>
      <w:r>
        <w:rPr>
          <w:b w:val="0"/>
          <w:bCs w:val="0"/>
          <w:iCs/>
          <w:sz w:val="23"/>
        </w:rPr>
        <w:t xml:space="preserve">) oraz </w:t>
      </w:r>
      <w:r>
        <w:rPr>
          <w:b w:val="0"/>
          <w:bCs w:val="0"/>
          <w:i/>
          <w:iCs/>
          <w:sz w:val="23"/>
        </w:rPr>
        <w:t>dehydrogenaza dihydrolipoilowa</w:t>
      </w:r>
      <w:r>
        <w:rPr>
          <w:b w:val="0"/>
          <w:bCs w:val="0"/>
          <w:iCs/>
          <w:sz w:val="23"/>
        </w:rPr>
        <w:t xml:space="preserve"> (E</w:t>
      </w:r>
      <w:r>
        <w:rPr>
          <w:b w:val="0"/>
          <w:bCs w:val="0"/>
          <w:iCs/>
          <w:sz w:val="23"/>
          <w:vertAlign w:val="subscript"/>
        </w:rPr>
        <w:t>3</w:t>
      </w:r>
      <w:r>
        <w:rPr>
          <w:b w:val="0"/>
          <w:bCs w:val="0"/>
          <w:iCs/>
          <w:sz w:val="23"/>
        </w:rPr>
        <w:t xml:space="preserve">). Koenzymem </w:t>
      </w:r>
      <w:r>
        <w:rPr>
          <w:b w:val="0"/>
          <w:bCs w:val="0"/>
          <w:i/>
          <w:iCs/>
          <w:sz w:val="23"/>
        </w:rPr>
        <w:t>dekarboksylazy pirogronianowej</w:t>
      </w:r>
      <w:r>
        <w:rPr>
          <w:b w:val="0"/>
          <w:bCs w:val="0"/>
          <w:iCs/>
          <w:sz w:val="23"/>
        </w:rPr>
        <w:t xml:space="preserve"> jest pirofosforan tiaminy (TPP), koenzymem </w:t>
      </w:r>
      <w:r>
        <w:rPr>
          <w:b w:val="0"/>
          <w:bCs w:val="0"/>
          <w:i/>
          <w:iCs/>
          <w:sz w:val="23"/>
        </w:rPr>
        <w:t>transacetylazy dihydrolipoilowej</w:t>
      </w:r>
      <w:r>
        <w:rPr>
          <w:b w:val="0"/>
          <w:bCs w:val="0"/>
          <w:iCs/>
          <w:sz w:val="23"/>
        </w:rPr>
        <w:t xml:space="preserve"> jest liponian, a koenzymem </w:t>
      </w:r>
      <w:r>
        <w:rPr>
          <w:b w:val="0"/>
          <w:bCs w:val="0"/>
          <w:i/>
          <w:iCs/>
          <w:sz w:val="23"/>
        </w:rPr>
        <w:t>dehydrogenazy dihydrolipoilowej</w:t>
      </w:r>
      <w:r>
        <w:rPr>
          <w:b w:val="0"/>
          <w:bCs w:val="0"/>
          <w:iCs/>
          <w:sz w:val="23"/>
        </w:rPr>
        <w:t xml:space="preserve"> – dinukleotyd flawinoadeninowy w formie utlenionej (FAD), który przekazuje wodory pobrane z liponianu na utleniony dinukleotyd nikotynamidoadeninowy (NAD</w:t>
      </w:r>
      <w:r>
        <w:rPr>
          <w:b w:val="0"/>
          <w:bCs w:val="0"/>
          <w:iCs/>
          <w:sz w:val="23"/>
          <w:vertAlign w:val="superscript"/>
        </w:rPr>
        <w:t>+</w:t>
      </w:r>
      <w:r>
        <w:rPr>
          <w:b w:val="0"/>
          <w:bCs w:val="0"/>
          <w:iCs/>
          <w:sz w:val="23"/>
        </w:rPr>
        <w:t>).</w:t>
      </w:r>
    </w:p>
    <w:p w:rsidR="00E90EC0" w:rsidRDefault="00E90EC0" w:rsidP="00E90EC0">
      <w:pPr>
        <w:jc w:val="both"/>
        <w:rPr>
          <w:b/>
          <w:sz w:val="23"/>
        </w:rPr>
      </w:pPr>
    </w:p>
    <w:p w:rsidR="00E90EC0" w:rsidRDefault="00E90EC0" w:rsidP="00E90EC0">
      <w:pPr>
        <w:tabs>
          <w:tab w:val="left" w:pos="567"/>
        </w:tabs>
        <w:jc w:val="both"/>
        <w:rPr>
          <w:sz w:val="23"/>
        </w:rPr>
      </w:pPr>
      <w:r>
        <w:rPr>
          <w:b/>
          <w:sz w:val="23"/>
        </w:rPr>
        <w:tab/>
      </w:r>
      <w:r>
        <w:rPr>
          <w:sz w:val="23"/>
        </w:rPr>
        <w:t>W pierwszym etapie pirogronian przyłącza się do pirofosforanu tiaminy z równoczesną dekarboksylacją (odłączeniem CO</w:t>
      </w:r>
      <w:r>
        <w:rPr>
          <w:sz w:val="23"/>
          <w:vertAlign w:val="subscript"/>
        </w:rPr>
        <w:t>2</w:t>
      </w:r>
      <w:r>
        <w:rPr>
          <w:sz w:val="23"/>
        </w:rPr>
        <w:t>). Powstały aldehyd octowy, połączony z pierścieniem tiazolowym pirofosforanu tiaminy, ulega w drugim etapie oderwaniu z równoczesnym utlenieniem ( odłączeniem pary wodorów). Reszta kwasu octowego przyłącza się poprzez wiązanie wysokoenergetyczne (tioestrowe) do atomu siarki liponianu. W trzecim etapie reszta kwasu octowego ulega przeniesieniu na koenzym A.  Powstaje</w:t>
      </w:r>
      <w:r>
        <w:rPr>
          <w:b/>
          <w:bCs/>
          <w:iCs/>
          <w:sz w:val="23"/>
        </w:rPr>
        <w:t xml:space="preserve"> </w:t>
      </w:r>
      <w:r>
        <w:rPr>
          <w:bCs/>
          <w:iCs/>
          <w:sz w:val="23"/>
        </w:rPr>
        <w:t>acetylo~S-CoA</w:t>
      </w:r>
      <w:r>
        <w:rPr>
          <w:sz w:val="23"/>
        </w:rPr>
        <w:t xml:space="preserve"> i zredukowany liponian. </w:t>
      </w:r>
      <w:r>
        <w:rPr>
          <w:bCs/>
          <w:iCs/>
          <w:sz w:val="23"/>
        </w:rPr>
        <w:t>Acetylo~S-CoA utlenia się w cyklu kwasu cytrynowego (Krebsa) do CO</w:t>
      </w:r>
      <w:r>
        <w:rPr>
          <w:bCs/>
          <w:iCs/>
          <w:sz w:val="23"/>
          <w:vertAlign w:val="subscript"/>
        </w:rPr>
        <w:t>2</w:t>
      </w:r>
      <w:r>
        <w:rPr>
          <w:bCs/>
          <w:iCs/>
          <w:sz w:val="23"/>
        </w:rPr>
        <w:t xml:space="preserve"> i H</w:t>
      </w:r>
      <w:r>
        <w:rPr>
          <w:bCs/>
          <w:iCs/>
          <w:sz w:val="23"/>
          <w:vertAlign w:val="subscript"/>
        </w:rPr>
        <w:t>2</w:t>
      </w:r>
      <w:r>
        <w:rPr>
          <w:bCs/>
          <w:iCs/>
          <w:sz w:val="23"/>
        </w:rPr>
        <w:t xml:space="preserve">O. </w:t>
      </w:r>
      <w:r>
        <w:rPr>
          <w:sz w:val="23"/>
        </w:rPr>
        <w:t xml:space="preserve">Liponian ulega utlenieniu przy udziale </w:t>
      </w:r>
      <w:r>
        <w:rPr>
          <w:bCs/>
          <w:i/>
          <w:iCs/>
          <w:sz w:val="23"/>
        </w:rPr>
        <w:t>dehydrogenazy dihydrolipoilowej,</w:t>
      </w:r>
      <w:r>
        <w:rPr>
          <w:bCs/>
          <w:iCs/>
          <w:sz w:val="23"/>
        </w:rPr>
        <w:t xml:space="preserve"> która przekazuje atomy wodoru pobrane z liponianu na FAD. Zredukowany FAD (FADH</w:t>
      </w:r>
      <w:r>
        <w:rPr>
          <w:bCs/>
          <w:iCs/>
          <w:sz w:val="23"/>
          <w:vertAlign w:val="subscript"/>
        </w:rPr>
        <w:t>2</w:t>
      </w:r>
      <w:r>
        <w:rPr>
          <w:bCs/>
          <w:iCs/>
          <w:sz w:val="23"/>
        </w:rPr>
        <w:t>) przekazuje atom wodoru i elektron na NAD</w:t>
      </w:r>
      <w:r>
        <w:rPr>
          <w:bCs/>
          <w:iCs/>
          <w:sz w:val="23"/>
          <w:vertAlign w:val="superscript"/>
        </w:rPr>
        <w:t>+</w:t>
      </w:r>
      <w:r>
        <w:rPr>
          <w:bCs/>
          <w:iCs/>
          <w:sz w:val="23"/>
        </w:rPr>
        <w:t>. Powstaje NADH+H</w:t>
      </w:r>
      <w:r>
        <w:rPr>
          <w:bCs/>
          <w:iCs/>
          <w:sz w:val="23"/>
          <w:vertAlign w:val="superscript"/>
        </w:rPr>
        <w:t>+</w:t>
      </w:r>
      <w:r>
        <w:rPr>
          <w:bCs/>
          <w:iCs/>
          <w:sz w:val="23"/>
        </w:rPr>
        <w:t>, który utlenia się dalej w łańcuchu oddechowym.</w:t>
      </w:r>
    </w:p>
    <w:p w:rsidR="00E90EC0" w:rsidRDefault="00E90EC0" w:rsidP="00E90EC0">
      <w:pPr>
        <w:jc w:val="both"/>
        <w:rPr>
          <w:sz w:val="23"/>
        </w:rPr>
      </w:pPr>
    </w:p>
    <w:p w:rsidR="00E90EC0" w:rsidRDefault="00E90EC0" w:rsidP="00E90EC0">
      <w:pPr>
        <w:tabs>
          <w:tab w:val="left" w:pos="567"/>
        </w:tabs>
        <w:jc w:val="both"/>
        <w:rPr>
          <w:sz w:val="23"/>
        </w:rPr>
      </w:pPr>
      <w:r>
        <w:rPr>
          <w:sz w:val="23"/>
        </w:rPr>
        <w:tab/>
        <w:t xml:space="preserve">Przebieg oksydacyjnej dekarboksylacji pirogronianu przedstawia w sposób uproszczony poniższy schemat: </w:t>
      </w:r>
    </w:p>
    <w:p w:rsidR="00E90EC0" w:rsidRDefault="00246455" w:rsidP="00E90EC0">
      <w:pPr>
        <w:jc w:val="both"/>
        <w:rPr>
          <w:sz w:val="23"/>
        </w:rPr>
      </w:pPr>
      <w:r>
        <w:rPr>
          <w:noProof/>
          <w:sz w:val="23"/>
        </w:rPr>
        <w:drawing>
          <wp:inline distT="0" distB="0" distL="0" distR="0">
            <wp:extent cx="5838825" cy="3495675"/>
            <wp:effectExtent l="19050" t="0" r="9525" b="0"/>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5" cstate="print"/>
                    <a:srcRect/>
                    <a:stretch>
                      <a:fillRect/>
                    </a:stretch>
                  </pic:blipFill>
                  <pic:spPr bwMode="auto">
                    <a:xfrm>
                      <a:off x="0" y="0"/>
                      <a:ext cx="5838825" cy="3495675"/>
                    </a:xfrm>
                    <a:prstGeom prst="rect">
                      <a:avLst/>
                    </a:prstGeom>
                    <a:noFill/>
                    <a:ln w="9525">
                      <a:noFill/>
                      <a:miter lim="800000"/>
                      <a:headEnd/>
                      <a:tailEnd/>
                    </a:ln>
                  </pic:spPr>
                </pic:pic>
              </a:graphicData>
            </a:graphic>
          </wp:inline>
        </w:drawing>
      </w:r>
    </w:p>
    <w:p w:rsidR="00E90EC0" w:rsidRDefault="00E90EC0" w:rsidP="00E90EC0">
      <w:pPr>
        <w:ind w:firstLine="708"/>
        <w:jc w:val="both"/>
        <w:rPr>
          <w:sz w:val="23"/>
        </w:rPr>
      </w:pPr>
      <w:r>
        <w:rPr>
          <w:sz w:val="23"/>
        </w:rPr>
        <w:t>Ćwiczenie polega na wykazaniu zużycia pirogronianu dodanego do homogenatu wątroby szczura. Umożliwia prześledzenie zachodzących reakcji oksydoredukcyjnych oraz wskazuje na możliwość hamowania tego procesu przez arsenian (III). Akceptorem elektronów jest tlen bądź sztuczny akceptor – heksacyjanożelazian (III) potasu – K</w:t>
      </w:r>
      <w:r>
        <w:rPr>
          <w:sz w:val="23"/>
          <w:vertAlign w:val="subscript"/>
        </w:rPr>
        <w:t>3</w:t>
      </w:r>
      <w:r>
        <w:rPr>
          <w:sz w:val="23"/>
        </w:rPr>
        <w:t>[Fe(CN)</w:t>
      </w:r>
      <w:r>
        <w:rPr>
          <w:sz w:val="23"/>
          <w:vertAlign w:val="subscript"/>
        </w:rPr>
        <w:t>6</w:t>
      </w:r>
      <w:r>
        <w:rPr>
          <w:sz w:val="23"/>
        </w:rPr>
        <w:t xml:space="preserve">]. Związek ten bezpośrednio </w:t>
      </w:r>
      <w:r>
        <w:rPr>
          <w:sz w:val="23"/>
        </w:rPr>
        <w:lastRenderedPageBreak/>
        <w:t>utlenia aldehyd octowy (połączony z pierścieniem tiazolowym pirofosforanu tiaminy) do kwasu octowego.</w:t>
      </w:r>
    </w:p>
    <w:p w:rsidR="00E90EC0" w:rsidRDefault="00E90EC0" w:rsidP="00E90EC0">
      <w:pPr>
        <w:jc w:val="both"/>
        <w:rPr>
          <w:sz w:val="23"/>
        </w:rPr>
      </w:pPr>
    </w:p>
    <w:p w:rsidR="00E90EC0" w:rsidRDefault="00246455" w:rsidP="00E90EC0">
      <w:pPr>
        <w:jc w:val="both"/>
        <w:rPr>
          <w:sz w:val="23"/>
        </w:rPr>
      </w:pPr>
      <w:r>
        <w:rPr>
          <w:noProof/>
          <w:sz w:val="23"/>
        </w:rPr>
        <w:drawing>
          <wp:inline distT="0" distB="0" distL="0" distR="0">
            <wp:extent cx="5838825" cy="1181100"/>
            <wp:effectExtent l="1905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6" cstate="print"/>
                    <a:srcRect/>
                    <a:stretch>
                      <a:fillRect/>
                    </a:stretch>
                  </pic:blipFill>
                  <pic:spPr bwMode="auto">
                    <a:xfrm>
                      <a:off x="0" y="0"/>
                      <a:ext cx="5838825" cy="1181100"/>
                    </a:xfrm>
                    <a:prstGeom prst="rect">
                      <a:avLst/>
                    </a:prstGeom>
                    <a:noFill/>
                    <a:ln w="9525">
                      <a:noFill/>
                      <a:miter lim="800000"/>
                      <a:headEnd/>
                      <a:tailEnd/>
                    </a:ln>
                  </pic:spPr>
                </pic:pic>
              </a:graphicData>
            </a:graphic>
          </wp:inline>
        </w:drawing>
      </w:r>
    </w:p>
    <w:p w:rsidR="00E90EC0" w:rsidRDefault="00E90EC0" w:rsidP="00E90EC0">
      <w:pPr>
        <w:jc w:val="both"/>
        <w:rPr>
          <w:sz w:val="23"/>
        </w:rPr>
      </w:pPr>
    </w:p>
    <w:p w:rsidR="00E90EC0" w:rsidRDefault="00E90EC0" w:rsidP="00E90EC0">
      <w:pPr>
        <w:ind w:firstLine="708"/>
        <w:jc w:val="both"/>
        <w:rPr>
          <w:sz w:val="23"/>
        </w:rPr>
      </w:pPr>
      <w:r>
        <w:rPr>
          <w:sz w:val="23"/>
        </w:rPr>
        <w:t>Reakcję przerywamy przez dodanie kwasu trichlorooctowego (TCA). Zużycie pirogronianu oceniamy przy pomocy reakcji barwnej. W probówkach zawierających heksacyjanożelazian (III) potasu obserwujemy dodatkowo zmianę zabarwienia roztworu (odbarwienie) w następstwie redukcji tego związku (o barwie żółtej) do bezbarwnego heksacyjanożelazianu (II) potasu K</w:t>
      </w:r>
      <w:r>
        <w:rPr>
          <w:sz w:val="23"/>
          <w:vertAlign w:val="subscript"/>
        </w:rPr>
        <w:t>4</w:t>
      </w:r>
      <w:r>
        <w:rPr>
          <w:sz w:val="23"/>
        </w:rPr>
        <w:t>[Fe(CN)</w:t>
      </w:r>
      <w:r>
        <w:rPr>
          <w:sz w:val="23"/>
          <w:vertAlign w:val="subscript"/>
        </w:rPr>
        <w:t>6</w:t>
      </w:r>
      <w:r>
        <w:rPr>
          <w:sz w:val="23"/>
        </w:rPr>
        <w:t>]. Arsenian (III) (AsO</w:t>
      </w:r>
      <w:r>
        <w:rPr>
          <w:sz w:val="23"/>
          <w:vertAlign w:val="subscript"/>
        </w:rPr>
        <w:t>2</w:t>
      </w:r>
      <w:r>
        <w:rPr>
          <w:sz w:val="23"/>
          <w:vertAlign w:val="superscript"/>
        </w:rPr>
        <w:t>-</w:t>
      </w:r>
      <w:r>
        <w:rPr>
          <w:sz w:val="23"/>
        </w:rPr>
        <w:t xml:space="preserve">) jest typowym inhibitorem reakcji, w których biorą udział grupy –SH. W warunkach naszego doświadczenia hamuje on przebieg reakcji katalizowanej przez </w:t>
      </w:r>
      <w:r>
        <w:rPr>
          <w:i/>
          <w:sz w:val="23"/>
        </w:rPr>
        <w:t>dehydrogenazę dihydrolipoilową</w:t>
      </w:r>
      <w:r>
        <w:rPr>
          <w:sz w:val="23"/>
        </w:rPr>
        <w:t>.</w:t>
      </w:r>
    </w:p>
    <w:p w:rsidR="00E90EC0" w:rsidRDefault="00E90EC0" w:rsidP="00E90EC0">
      <w:pPr>
        <w:jc w:val="both"/>
        <w:rPr>
          <w:sz w:val="23"/>
        </w:rPr>
      </w:pPr>
    </w:p>
    <w:p w:rsidR="00E90EC0" w:rsidRDefault="00E90EC0" w:rsidP="00E90EC0">
      <w:pPr>
        <w:jc w:val="both"/>
        <w:rPr>
          <w:sz w:val="23"/>
        </w:rPr>
      </w:pPr>
      <w:r>
        <w:rPr>
          <w:sz w:val="23"/>
        </w:rPr>
        <w:t>Mechanizm blokowania grup –SH przez arsenian (III) przedstawia poniższe równanie:</w:t>
      </w:r>
    </w:p>
    <w:p w:rsidR="00E90EC0" w:rsidRDefault="00E90EC0" w:rsidP="00E90EC0">
      <w:pPr>
        <w:jc w:val="both"/>
        <w:rPr>
          <w:sz w:val="23"/>
        </w:rPr>
      </w:pPr>
    </w:p>
    <w:p w:rsidR="00E90EC0" w:rsidRDefault="00246455" w:rsidP="00E90EC0">
      <w:pPr>
        <w:jc w:val="both"/>
        <w:rPr>
          <w:sz w:val="23"/>
        </w:rPr>
      </w:pPr>
      <w:r>
        <w:rPr>
          <w:noProof/>
          <w:sz w:val="23"/>
        </w:rPr>
        <w:drawing>
          <wp:inline distT="0" distB="0" distL="0" distR="0">
            <wp:extent cx="5838825" cy="1028700"/>
            <wp:effectExtent l="19050" t="0" r="9525" b="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cstate="print"/>
                    <a:srcRect/>
                    <a:stretch>
                      <a:fillRect/>
                    </a:stretch>
                  </pic:blipFill>
                  <pic:spPr bwMode="auto">
                    <a:xfrm>
                      <a:off x="0" y="0"/>
                      <a:ext cx="5838825" cy="1028700"/>
                    </a:xfrm>
                    <a:prstGeom prst="rect">
                      <a:avLst/>
                    </a:prstGeom>
                    <a:noFill/>
                    <a:ln w="9525">
                      <a:noFill/>
                      <a:miter lim="800000"/>
                      <a:headEnd/>
                      <a:tailEnd/>
                    </a:ln>
                  </pic:spPr>
                </pic:pic>
              </a:graphicData>
            </a:graphic>
          </wp:inline>
        </w:drawing>
      </w:r>
    </w:p>
    <w:p w:rsidR="00E90EC0" w:rsidRDefault="00E90EC0" w:rsidP="00E90EC0">
      <w:pPr>
        <w:jc w:val="both"/>
        <w:rPr>
          <w:sz w:val="23"/>
        </w:rPr>
      </w:pPr>
    </w:p>
    <w:p w:rsidR="00E90EC0" w:rsidRDefault="00E90EC0" w:rsidP="00E90EC0">
      <w:pPr>
        <w:jc w:val="both"/>
        <w:rPr>
          <w:sz w:val="23"/>
        </w:rPr>
      </w:pPr>
    </w:p>
    <w:p w:rsidR="00E90EC0" w:rsidRDefault="00E90EC0" w:rsidP="00E90EC0">
      <w:pPr>
        <w:jc w:val="both"/>
        <w:rPr>
          <w:sz w:val="23"/>
        </w:rPr>
      </w:pPr>
    </w:p>
    <w:p w:rsidR="00E90EC0" w:rsidRDefault="00E90EC0" w:rsidP="00E90EC0">
      <w:pPr>
        <w:ind w:firstLine="708"/>
        <w:jc w:val="both"/>
        <w:rPr>
          <w:sz w:val="23"/>
        </w:rPr>
      </w:pPr>
      <w:r>
        <w:rPr>
          <w:sz w:val="23"/>
        </w:rPr>
        <w:t xml:space="preserve">Obecność heksacyjanożelazianu (III) potasu, jako sztucznego akceptora elektronów sprawia, że etap hamowany przez arsenian (III) zostaje </w:t>
      </w:r>
      <w:r w:rsidR="00FA09FF">
        <w:rPr>
          <w:sz w:val="23"/>
        </w:rPr>
        <w:t>p</w:t>
      </w:r>
      <w:r>
        <w:rPr>
          <w:sz w:val="23"/>
        </w:rPr>
        <w:t>ominięty. W tych warunkach arsenian nie hamuje zużycia pirogronianu.</w:t>
      </w:r>
    </w:p>
    <w:p w:rsidR="00E90EC0" w:rsidRDefault="00E90EC0" w:rsidP="00E90EC0">
      <w:pPr>
        <w:ind w:firstLine="708"/>
        <w:jc w:val="both"/>
        <w:rPr>
          <w:sz w:val="23"/>
        </w:rPr>
      </w:pPr>
    </w:p>
    <w:p w:rsidR="00E90EC0" w:rsidRDefault="00E90EC0" w:rsidP="00E90EC0">
      <w:pPr>
        <w:ind w:firstLine="708"/>
        <w:jc w:val="both"/>
        <w:rPr>
          <w:sz w:val="23"/>
        </w:rPr>
      </w:pPr>
      <w:r>
        <w:rPr>
          <w:sz w:val="23"/>
        </w:rPr>
        <w:t>Zawartość pirogronianu w układzie reagującym oceniamy przy pomocy reakcji z</w:t>
      </w:r>
    </w:p>
    <w:p w:rsidR="00E90EC0" w:rsidRDefault="00E90EC0" w:rsidP="00E90EC0">
      <w:pPr>
        <w:jc w:val="both"/>
        <w:rPr>
          <w:sz w:val="23"/>
        </w:rPr>
      </w:pPr>
      <w:r>
        <w:rPr>
          <w:sz w:val="23"/>
        </w:rPr>
        <w:t>2,4-dinitrofenylohydrazyną. Wszystkie α-ketokwasy, a więc i pirogronian, reagują z</w:t>
      </w:r>
    </w:p>
    <w:p w:rsidR="00E90EC0" w:rsidRDefault="00E90EC0" w:rsidP="00E90EC0">
      <w:pPr>
        <w:jc w:val="both"/>
        <w:rPr>
          <w:sz w:val="23"/>
        </w:rPr>
      </w:pPr>
      <w:r>
        <w:rPr>
          <w:sz w:val="23"/>
        </w:rPr>
        <w:t>2,4-dinitrofenylohydrazyną tworząc odpowiednie fenylohydrazony. Związki te rozpuszczają się w rozpuszczalnikach organicznych i można je wyekstrahować (np. octanem etylu). Po dodaniu octanu etylu i energicznym wytrząsaniu mieszanina rozwarstwia się. W fazie wodnej (dolna warstwa) pozostaje woda oraz sole znajdujące się w wyciągach tkankowych. W fazie organicznej (górna warstwa) gromadzą się fenylohydrazony i nadmiar wodnej fenylohydrazyny. Fenylohydrazony i fenylohydrazynę można łatwo rozdzielić. Różnią się one bowiem rozpuszczalnością w roztworze węglanu sodu. Po usunięciu fazy wodnej, do fazy organicznej dodajemy roztwór Na</w:t>
      </w:r>
      <w:r>
        <w:rPr>
          <w:sz w:val="23"/>
          <w:vertAlign w:val="subscript"/>
        </w:rPr>
        <w:t>2</w:t>
      </w:r>
      <w:r>
        <w:rPr>
          <w:sz w:val="23"/>
        </w:rPr>
        <w:t>CO</w:t>
      </w:r>
      <w:r>
        <w:rPr>
          <w:sz w:val="23"/>
          <w:vertAlign w:val="subscript"/>
        </w:rPr>
        <w:t>3</w:t>
      </w:r>
      <w:r>
        <w:rPr>
          <w:sz w:val="23"/>
        </w:rPr>
        <w:t>. Podczas wytrząsania fenylohydrazony przechodzą do fazy wodnej, zawierającej węglan sodu (dolna warstwa). 2,4-dinitrofenylohydrazon pirogronianu po alkalizacji roztworem NaOH zmienia zabarwienie z żółtego na brunatno-czerwone (jak wszystkie aromatyczne związki nitrowe). Natężenie barwy jast proporcjonalne do stężenia pirogronianu w układzie reagującym.</w:t>
      </w:r>
    </w:p>
    <w:p w:rsidR="003834C2" w:rsidRDefault="003834C2" w:rsidP="00E90EC0">
      <w:pPr>
        <w:jc w:val="both"/>
        <w:rPr>
          <w:b/>
          <w:sz w:val="23"/>
        </w:rPr>
      </w:pPr>
    </w:p>
    <w:p w:rsidR="003834C2" w:rsidRDefault="003834C2" w:rsidP="00E90EC0">
      <w:pPr>
        <w:jc w:val="both"/>
        <w:rPr>
          <w:b/>
          <w:sz w:val="23"/>
        </w:rPr>
      </w:pPr>
    </w:p>
    <w:p w:rsidR="00FA09FF" w:rsidRDefault="003834C2" w:rsidP="00E90EC0">
      <w:pPr>
        <w:jc w:val="both"/>
        <w:rPr>
          <w:b/>
          <w:sz w:val="23"/>
        </w:rPr>
      </w:pPr>
      <w:r>
        <w:rPr>
          <w:b/>
          <w:sz w:val="23"/>
        </w:rPr>
        <w:br w:type="page"/>
      </w:r>
      <w:r w:rsidR="00FA09FF">
        <w:rPr>
          <w:b/>
          <w:sz w:val="23"/>
        </w:rPr>
        <w:lastRenderedPageBreak/>
        <w:t>Zagadnienia do przygotowania:</w:t>
      </w:r>
    </w:p>
    <w:p w:rsidR="00FA09FF" w:rsidRDefault="00FA09FF" w:rsidP="00FA09FF">
      <w:pPr>
        <w:pStyle w:val="Akapitzlist"/>
        <w:numPr>
          <w:ilvl w:val="0"/>
          <w:numId w:val="2"/>
        </w:numPr>
        <w:jc w:val="both"/>
        <w:rPr>
          <w:sz w:val="23"/>
        </w:rPr>
      </w:pPr>
      <w:r>
        <w:rPr>
          <w:sz w:val="23"/>
        </w:rPr>
        <w:t>Reakcje, w których powstaje pirogronian</w:t>
      </w:r>
    </w:p>
    <w:p w:rsidR="00FA09FF" w:rsidRPr="00FA09FF" w:rsidRDefault="00FA09FF" w:rsidP="00FA09FF">
      <w:pPr>
        <w:pStyle w:val="Akapitzlist"/>
        <w:numPr>
          <w:ilvl w:val="0"/>
          <w:numId w:val="2"/>
        </w:numPr>
        <w:jc w:val="both"/>
        <w:rPr>
          <w:sz w:val="23"/>
        </w:rPr>
      </w:pPr>
      <w:r w:rsidRPr="00FA09FF">
        <w:rPr>
          <w:sz w:val="23"/>
        </w:rPr>
        <w:t>P</w:t>
      </w:r>
      <w:r>
        <w:rPr>
          <w:sz w:val="23"/>
        </w:rPr>
        <w:t xml:space="preserve">rzebieg reakcji </w:t>
      </w:r>
      <w:r w:rsidRPr="00E90EC0">
        <w:rPr>
          <w:bCs/>
          <w:iCs/>
          <w:sz w:val="23"/>
        </w:rPr>
        <w:t>oksydacyjnej dekarboksylacji pirogronianu</w:t>
      </w:r>
    </w:p>
    <w:p w:rsidR="00FA09FF" w:rsidRPr="00FA09FF" w:rsidRDefault="00FA09FF" w:rsidP="00FA09FF">
      <w:pPr>
        <w:pStyle w:val="Akapitzlist"/>
        <w:jc w:val="both"/>
        <w:rPr>
          <w:sz w:val="23"/>
        </w:rPr>
      </w:pPr>
    </w:p>
    <w:p w:rsidR="00FA09FF" w:rsidRDefault="00FA09FF" w:rsidP="00E90EC0">
      <w:pPr>
        <w:jc w:val="both"/>
        <w:rPr>
          <w:b/>
          <w:sz w:val="23"/>
        </w:rPr>
      </w:pPr>
    </w:p>
    <w:p w:rsidR="00E90EC0" w:rsidRPr="00FA09FF" w:rsidRDefault="00FA09FF" w:rsidP="00E90EC0">
      <w:pPr>
        <w:jc w:val="both"/>
        <w:rPr>
          <w:b/>
          <w:sz w:val="23"/>
        </w:rPr>
      </w:pPr>
      <w:r w:rsidRPr="00FA09FF">
        <w:rPr>
          <w:b/>
          <w:sz w:val="23"/>
        </w:rPr>
        <w:t>Materiał i odczynniki:</w:t>
      </w:r>
    </w:p>
    <w:p w:rsidR="00FA09FF" w:rsidRDefault="00FA09FF" w:rsidP="00E90EC0">
      <w:pPr>
        <w:jc w:val="both"/>
        <w:rPr>
          <w:sz w:val="23"/>
        </w:rPr>
      </w:pPr>
      <w:r>
        <w:rPr>
          <w:sz w:val="23"/>
        </w:rPr>
        <w:t>Homogenat wątroby szczura</w:t>
      </w:r>
    </w:p>
    <w:p w:rsidR="00FA09FF" w:rsidRDefault="00FA09FF" w:rsidP="00E90EC0">
      <w:pPr>
        <w:jc w:val="both"/>
        <w:rPr>
          <w:sz w:val="23"/>
        </w:rPr>
      </w:pPr>
    </w:p>
    <w:p w:rsidR="00FA09FF" w:rsidRDefault="00FA09FF" w:rsidP="00E90EC0">
      <w:pPr>
        <w:jc w:val="both"/>
        <w:rPr>
          <w:sz w:val="23"/>
        </w:rPr>
      </w:pPr>
    </w:p>
    <w:p w:rsidR="00FA09FF" w:rsidRDefault="00FA09FF" w:rsidP="00E90EC0">
      <w:pPr>
        <w:jc w:val="both"/>
        <w:rPr>
          <w:sz w:val="23"/>
        </w:rPr>
      </w:pPr>
    </w:p>
    <w:p w:rsidR="00E90EC0" w:rsidRDefault="00E90EC0" w:rsidP="00E90EC0">
      <w:pPr>
        <w:jc w:val="both"/>
        <w:rPr>
          <w:sz w:val="23"/>
        </w:rPr>
      </w:pPr>
      <w:r w:rsidRPr="003834C2">
        <w:rPr>
          <w:b/>
          <w:i/>
          <w:iCs/>
          <w:sz w:val="23"/>
        </w:rPr>
        <w:t>Cel ćwiczenia</w:t>
      </w:r>
      <w:r w:rsidRPr="00E90EC0">
        <w:rPr>
          <w:b/>
          <w:iCs/>
          <w:sz w:val="23"/>
        </w:rPr>
        <w:t>:</w:t>
      </w:r>
      <w:r>
        <w:rPr>
          <w:b/>
          <w:bCs/>
          <w:i/>
          <w:iCs/>
          <w:sz w:val="23"/>
        </w:rPr>
        <w:t xml:space="preserve"> </w:t>
      </w:r>
      <w:r w:rsidRPr="00E90EC0">
        <w:rPr>
          <w:bCs/>
          <w:iCs/>
          <w:sz w:val="23"/>
        </w:rPr>
        <w:t>obserwacja przebiegu reakcji oksydacyjnej dekarboksylacji pirogronianu</w:t>
      </w:r>
    </w:p>
    <w:p w:rsidR="00E90EC0" w:rsidRDefault="00E90EC0" w:rsidP="00E90EC0">
      <w:pPr>
        <w:pStyle w:val="Nagwek1"/>
        <w:jc w:val="both"/>
        <w:rPr>
          <w:b/>
          <w:bCs/>
          <w:sz w:val="23"/>
        </w:rPr>
      </w:pPr>
    </w:p>
    <w:p w:rsidR="00E90EC0" w:rsidRPr="003834C2" w:rsidRDefault="00E90EC0" w:rsidP="00E90EC0">
      <w:pPr>
        <w:pStyle w:val="Nagwek1"/>
        <w:jc w:val="both"/>
        <w:rPr>
          <w:b/>
          <w:bCs/>
          <w:i/>
          <w:sz w:val="28"/>
          <w:szCs w:val="28"/>
        </w:rPr>
      </w:pPr>
      <w:r w:rsidRPr="003834C2">
        <w:rPr>
          <w:b/>
          <w:bCs/>
          <w:i/>
          <w:sz w:val="28"/>
          <w:szCs w:val="28"/>
        </w:rPr>
        <w:t>Wykonanie</w:t>
      </w:r>
    </w:p>
    <w:p w:rsidR="00E90EC0" w:rsidRDefault="00E90EC0" w:rsidP="00E90EC0">
      <w:pPr>
        <w:ind w:firstLine="284"/>
        <w:jc w:val="both"/>
        <w:rPr>
          <w:sz w:val="23"/>
        </w:rPr>
      </w:pPr>
    </w:p>
    <w:p w:rsidR="00E90EC0" w:rsidRDefault="00E90EC0" w:rsidP="00FA09FF">
      <w:pPr>
        <w:tabs>
          <w:tab w:val="left" w:pos="426"/>
        </w:tabs>
        <w:jc w:val="both"/>
        <w:rPr>
          <w:sz w:val="23"/>
        </w:rPr>
      </w:pPr>
      <w:r>
        <w:rPr>
          <w:b/>
          <w:bCs/>
          <w:sz w:val="23"/>
        </w:rPr>
        <w:t xml:space="preserve">1.   </w:t>
      </w:r>
      <w:r w:rsidR="00FA09FF">
        <w:rPr>
          <w:b/>
          <w:bCs/>
          <w:sz w:val="23"/>
        </w:rPr>
        <w:t xml:space="preserve"> </w:t>
      </w:r>
      <w:r>
        <w:rPr>
          <w:b/>
          <w:bCs/>
          <w:sz w:val="23"/>
        </w:rPr>
        <w:t>Inkubacja</w:t>
      </w:r>
    </w:p>
    <w:p w:rsidR="00E90EC0" w:rsidRDefault="00E90EC0" w:rsidP="00E90EC0">
      <w:pPr>
        <w:jc w:val="both"/>
        <w:rPr>
          <w:sz w:val="23"/>
        </w:rPr>
      </w:pPr>
    </w:p>
    <w:p w:rsidR="00FA09FF" w:rsidRDefault="00E90EC0" w:rsidP="00FA09FF">
      <w:pPr>
        <w:pStyle w:val="Akapitzlist"/>
        <w:numPr>
          <w:ilvl w:val="0"/>
          <w:numId w:val="3"/>
        </w:numPr>
        <w:jc w:val="both"/>
        <w:rPr>
          <w:sz w:val="23"/>
        </w:rPr>
      </w:pPr>
      <w:r w:rsidRPr="00FA09FF">
        <w:rPr>
          <w:sz w:val="23"/>
        </w:rPr>
        <w:t xml:space="preserve">Do 6 ponumerowanych probówek (1-6) dodać odpowiednie ilości odczynników, według Tabeli I. </w:t>
      </w:r>
    </w:p>
    <w:p w:rsidR="00FA09FF" w:rsidRDefault="00FA09FF" w:rsidP="00FA09FF">
      <w:pPr>
        <w:pStyle w:val="Akapitzlist"/>
        <w:numPr>
          <w:ilvl w:val="0"/>
          <w:numId w:val="3"/>
        </w:numPr>
        <w:jc w:val="both"/>
        <w:rPr>
          <w:sz w:val="23"/>
        </w:rPr>
      </w:pPr>
      <w:r>
        <w:rPr>
          <w:sz w:val="23"/>
        </w:rPr>
        <w:t>D</w:t>
      </w:r>
      <w:r w:rsidR="00E90EC0" w:rsidRPr="00FA09FF">
        <w:rPr>
          <w:sz w:val="23"/>
        </w:rPr>
        <w:t xml:space="preserve">o probówek kontrolnych (1 i 4) należy dodać po 4ml 10% kwasu trichlorooctowego (TCA). </w:t>
      </w:r>
    </w:p>
    <w:p w:rsidR="00FA09FF" w:rsidRDefault="00E90EC0" w:rsidP="00FA09FF">
      <w:pPr>
        <w:pStyle w:val="Akapitzlist"/>
        <w:numPr>
          <w:ilvl w:val="0"/>
          <w:numId w:val="3"/>
        </w:numPr>
        <w:jc w:val="both"/>
        <w:rPr>
          <w:sz w:val="23"/>
        </w:rPr>
      </w:pPr>
      <w:r w:rsidRPr="00FA09FF">
        <w:rPr>
          <w:sz w:val="23"/>
        </w:rPr>
        <w:t xml:space="preserve">Do wszystkich probówek dodać po 2ml homogenatu wątroby szczura i inkubować w łaźni wodnej o temperaturze 37°C przez 45 min. </w:t>
      </w:r>
    </w:p>
    <w:p w:rsidR="00FA09FF" w:rsidRDefault="00E90EC0" w:rsidP="00FA09FF">
      <w:pPr>
        <w:pStyle w:val="Akapitzlist"/>
        <w:numPr>
          <w:ilvl w:val="0"/>
          <w:numId w:val="3"/>
        </w:numPr>
        <w:jc w:val="both"/>
        <w:rPr>
          <w:sz w:val="23"/>
        </w:rPr>
      </w:pPr>
      <w:r w:rsidRPr="00FA09FF">
        <w:rPr>
          <w:sz w:val="23"/>
        </w:rPr>
        <w:t>Co 3-4 minuty zawartość probówek mieszać przez wstrząśnięcie.</w:t>
      </w:r>
    </w:p>
    <w:p w:rsidR="00FA09FF" w:rsidRDefault="00E90EC0" w:rsidP="00FA09FF">
      <w:pPr>
        <w:pStyle w:val="Akapitzlist"/>
        <w:numPr>
          <w:ilvl w:val="0"/>
          <w:numId w:val="3"/>
        </w:numPr>
        <w:jc w:val="both"/>
        <w:rPr>
          <w:sz w:val="23"/>
        </w:rPr>
      </w:pPr>
      <w:r w:rsidRPr="00FA09FF">
        <w:rPr>
          <w:sz w:val="23"/>
        </w:rPr>
        <w:t xml:space="preserve">Po zakończeniu inkubacji do probówek nr: 2, 3, 5 i 6 dodać po 4ml TCA. </w:t>
      </w:r>
    </w:p>
    <w:p w:rsidR="00FA09FF" w:rsidRDefault="00E90EC0" w:rsidP="00FA09FF">
      <w:pPr>
        <w:pStyle w:val="Akapitzlist"/>
        <w:numPr>
          <w:ilvl w:val="0"/>
          <w:numId w:val="3"/>
        </w:numPr>
        <w:jc w:val="both"/>
        <w:rPr>
          <w:sz w:val="23"/>
        </w:rPr>
      </w:pPr>
      <w:r w:rsidRPr="00FA09FF">
        <w:rPr>
          <w:sz w:val="23"/>
        </w:rPr>
        <w:t>Zawartość wszystkich probówek przesączyć przez małe sączki z bibuły filtracyjnej do kolejnego szeregu krótkich probówek.</w:t>
      </w:r>
    </w:p>
    <w:p w:rsidR="00E90EC0" w:rsidRDefault="00E90EC0" w:rsidP="00FA09FF">
      <w:pPr>
        <w:pStyle w:val="Akapitzlist"/>
        <w:numPr>
          <w:ilvl w:val="0"/>
          <w:numId w:val="3"/>
        </w:numPr>
        <w:jc w:val="both"/>
        <w:rPr>
          <w:sz w:val="23"/>
        </w:rPr>
      </w:pPr>
      <w:r w:rsidRPr="00FA09FF">
        <w:rPr>
          <w:sz w:val="23"/>
        </w:rPr>
        <w:t>Probówki z przesączami pozostawić do zakończenia ćwiczeń.</w:t>
      </w:r>
    </w:p>
    <w:p w:rsidR="00FA09FF" w:rsidRPr="00FA09FF" w:rsidRDefault="00FA09FF" w:rsidP="00FA09FF">
      <w:pPr>
        <w:pStyle w:val="Akapitzlist"/>
        <w:jc w:val="both"/>
        <w:rPr>
          <w:sz w:val="23"/>
        </w:rPr>
      </w:pPr>
    </w:p>
    <w:p w:rsidR="00E90EC0" w:rsidRPr="00FA09FF" w:rsidRDefault="00E90EC0" w:rsidP="00FA09FF">
      <w:pPr>
        <w:pStyle w:val="Akapitzlist"/>
        <w:numPr>
          <w:ilvl w:val="0"/>
          <w:numId w:val="5"/>
        </w:numPr>
        <w:ind w:left="426" w:hanging="426"/>
        <w:jc w:val="both"/>
        <w:rPr>
          <w:b/>
          <w:bCs/>
          <w:sz w:val="23"/>
        </w:rPr>
      </w:pPr>
      <w:r w:rsidRPr="00FA09FF">
        <w:rPr>
          <w:b/>
          <w:bCs/>
          <w:sz w:val="23"/>
        </w:rPr>
        <w:t>Wykazanie ubytku pirogronianu</w:t>
      </w:r>
    </w:p>
    <w:p w:rsidR="00E90EC0" w:rsidRDefault="00E90EC0" w:rsidP="00E90EC0">
      <w:pPr>
        <w:jc w:val="both"/>
        <w:rPr>
          <w:b/>
          <w:bCs/>
          <w:sz w:val="23"/>
        </w:rPr>
      </w:pPr>
    </w:p>
    <w:p w:rsidR="00FA09FF" w:rsidRDefault="00E90EC0" w:rsidP="00FA09FF">
      <w:pPr>
        <w:pStyle w:val="Akapitzlist"/>
        <w:numPr>
          <w:ilvl w:val="0"/>
          <w:numId w:val="6"/>
        </w:numPr>
        <w:jc w:val="both"/>
        <w:rPr>
          <w:bCs/>
          <w:sz w:val="23"/>
        </w:rPr>
      </w:pPr>
      <w:r w:rsidRPr="00FA09FF">
        <w:rPr>
          <w:bCs/>
          <w:sz w:val="23"/>
        </w:rPr>
        <w:t>Do 6 ponumerowanych probówek (jak w Tabeli II) odmierzyć po 0,5ml odpowiednich przesączów</w:t>
      </w:r>
      <w:r w:rsidR="00FA09FF">
        <w:rPr>
          <w:bCs/>
          <w:sz w:val="23"/>
        </w:rPr>
        <w:t>.</w:t>
      </w:r>
    </w:p>
    <w:p w:rsidR="00FA09FF" w:rsidRDefault="00FA09FF" w:rsidP="00FA09FF">
      <w:pPr>
        <w:pStyle w:val="Akapitzlist"/>
        <w:numPr>
          <w:ilvl w:val="0"/>
          <w:numId w:val="6"/>
        </w:numPr>
        <w:jc w:val="both"/>
        <w:rPr>
          <w:bCs/>
          <w:sz w:val="23"/>
        </w:rPr>
      </w:pPr>
      <w:r>
        <w:rPr>
          <w:bCs/>
          <w:sz w:val="23"/>
        </w:rPr>
        <w:t>D</w:t>
      </w:r>
      <w:r w:rsidR="00E90EC0" w:rsidRPr="00FA09FF">
        <w:rPr>
          <w:bCs/>
          <w:sz w:val="23"/>
        </w:rPr>
        <w:t xml:space="preserve">o każdego </w:t>
      </w:r>
      <w:r>
        <w:rPr>
          <w:bCs/>
          <w:sz w:val="23"/>
        </w:rPr>
        <w:t xml:space="preserve">przesączu </w:t>
      </w:r>
      <w:r w:rsidR="00E90EC0" w:rsidRPr="00FA09FF">
        <w:rPr>
          <w:bCs/>
          <w:sz w:val="23"/>
        </w:rPr>
        <w:t xml:space="preserve">dodać po 0,5ml roztworu 2,4-dinitrofenylohydrazyny. </w:t>
      </w:r>
    </w:p>
    <w:p w:rsidR="00FA09FF" w:rsidRDefault="00E90EC0" w:rsidP="00FA09FF">
      <w:pPr>
        <w:pStyle w:val="Akapitzlist"/>
        <w:numPr>
          <w:ilvl w:val="0"/>
          <w:numId w:val="6"/>
        </w:numPr>
        <w:jc w:val="both"/>
        <w:rPr>
          <w:bCs/>
          <w:sz w:val="23"/>
        </w:rPr>
      </w:pPr>
      <w:r w:rsidRPr="00FA09FF">
        <w:rPr>
          <w:bCs/>
          <w:sz w:val="23"/>
        </w:rPr>
        <w:t xml:space="preserve">Pozostawić w temperaturze pokojowej przez 15 minut. </w:t>
      </w:r>
    </w:p>
    <w:p w:rsidR="00FA09FF" w:rsidRDefault="00FA09FF" w:rsidP="00FA09FF">
      <w:pPr>
        <w:pStyle w:val="Akapitzlist"/>
        <w:numPr>
          <w:ilvl w:val="0"/>
          <w:numId w:val="6"/>
        </w:numPr>
        <w:jc w:val="both"/>
        <w:rPr>
          <w:bCs/>
          <w:sz w:val="23"/>
        </w:rPr>
      </w:pPr>
      <w:r>
        <w:rPr>
          <w:bCs/>
          <w:sz w:val="23"/>
        </w:rPr>
        <w:t>D</w:t>
      </w:r>
      <w:r w:rsidR="00E90EC0" w:rsidRPr="00FA09FF">
        <w:rPr>
          <w:bCs/>
          <w:sz w:val="23"/>
        </w:rPr>
        <w:t xml:space="preserve">odać po 4ml octanu etylu i każdą z probówek wstrząsać energicznie przez 1 minutę lub przedmuchiwać przy pomocy odpowiedniej pipety. </w:t>
      </w:r>
    </w:p>
    <w:p w:rsidR="004C0383" w:rsidRDefault="00E90EC0" w:rsidP="00FA09FF">
      <w:pPr>
        <w:pStyle w:val="Akapitzlist"/>
        <w:numPr>
          <w:ilvl w:val="0"/>
          <w:numId w:val="6"/>
        </w:numPr>
        <w:jc w:val="both"/>
        <w:rPr>
          <w:bCs/>
          <w:sz w:val="23"/>
        </w:rPr>
      </w:pPr>
      <w:r w:rsidRPr="00FA09FF">
        <w:rPr>
          <w:bCs/>
          <w:sz w:val="23"/>
        </w:rPr>
        <w:t>Odpipetować ostrożnie dolną warstwę wodną, przy użyciu odpowiedniej pipety</w:t>
      </w:r>
      <w:r w:rsidR="004C0383">
        <w:rPr>
          <w:bCs/>
          <w:sz w:val="23"/>
        </w:rPr>
        <w:t>.</w:t>
      </w:r>
    </w:p>
    <w:p w:rsidR="00FA09FF" w:rsidRDefault="004C0383" w:rsidP="00FA09FF">
      <w:pPr>
        <w:pStyle w:val="Akapitzlist"/>
        <w:numPr>
          <w:ilvl w:val="0"/>
          <w:numId w:val="6"/>
        </w:numPr>
        <w:jc w:val="both"/>
        <w:rPr>
          <w:bCs/>
          <w:sz w:val="23"/>
        </w:rPr>
      </w:pPr>
      <w:r>
        <w:rPr>
          <w:bCs/>
          <w:sz w:val="23"/>
        </w:rPr>
        <w:t>D</w:t>
      </w:r>
      <w:r w:rsidR="00E90EC0" w:rsidRPr="00FA09FF">
        <w:rPr>
          <w:bCs/>
          <w:sz w:val="23"/>
        </w:rPr>
        <w:t>o pozostałości odmierzyć po 3ml 10% roztworu Na</w:t>
      </w:r>
      <w:r w:rsidR="00E90EC0" w:rsidRPr="00FA09FF">
        <w:rPr>
          <w:bCs/>
          <w:sz w:val="23"/>
          <w:vertAlign w:val="subscript"/>
        </w:rPr>
        <w:t>2</w:t>
      </w:r>
      <w:r w:rsidR="00E90EC0" w:rsidRPr="00FA09FF">
        <w:rPr>
          <w:bCs/>
          <w:sz w:val="23"/>
        </w:rPr>
        <w:t>CO</w:t>
      </w:r>
      <w:r w:rsidR="00E90EC0" w:rsidRPr="00FA09FF">
        <w:rPr>
          <w:bCs/>
          <w:sz w:val="23"/>
          <w:vertAlign w:val="subscript"/>
        </w:rPr>
        <w:t>3</w:t>
      </w:r>
      <w:r w:rsidR="00E90EC0" w:rsidRPr="00FA09FF">
        <w:rPr>
          <w:bCs/>
          <w:sz w:val="23"/>
        </w:rPr>
        <w:t xml:space="preserve"> i znów w</w:t>
      </w:r>
      <w:r>
        <w:rPr>
          <w:bCs/>
          <w:sz w:val="23"/>
        </w:rPr>
        <w:t>y</w:t>
      </w:r>
      <w:r w:rsidR="00E90EC0" w:rsidRPr="00FA09FF">
        <w:rPr>
          <w:bCs/>
          <w:sz w:val="23"/>
        </w:rPr>
        <w:t>trząsać energicznie probówki przez 1 minutę.</w:t>
      </w:r>
    </w:p>
    <w:p w:rsidR="004C0383" w:rsidRDefault="00E90EC0" w:rsidP="00FA09FF">
      <w:pPr>
        <w:pStyle w:val="Akapitzlist"/>
        <w:numPr>
          <w:ilvl w:val="0"/>
          <w:numId w:val="6"/>
        </w:numPr>
        <w:jc w:val="both"/>
        <w:rPr>
          <w:bCs/>
          <w:sz w:val="23"/>
        </w:rPr>
      </w:pPr>
      <w:r w:rsidRPr="00FA09FF">
        <w:rPr>
          <w:bCs/>
          <w:sz w:val="23"/>
        </w:rPr>
        <w:t xml:space="preserve">Z dolnej warstwy wodnej pobrać pipetą po 1,5ml i przenieść do nowego szeregu identycznie ponumerowanych probówek. </w:t>
      </w:r>
    </w:p>
    <w:p w:rsidR="004C0383" w:rsidRDefault="00E90EC0" w:rsidP="00FA09FF">
      <w:pPr>
        <w:pStyle w:val="Akapitzlist"/>
        <w:numPr>
          <w:ilvl w:val="0"/>
          <w:numId w:val="6"/>
        </w:numPr>
        <w:jc w:val="both"/>
        <w:rPr>
          <w:bCs/>
          <w:sz w:val="23"/>
        </w:rPr>
      </w:pPr>
      <w:r w:rsidRPr="00FA09FF">
        <w:rPr>
          <w:bCs/>
          <w:sz w:val="23"/>
        </w:rPr>
        <w:t xml:space="preserve">Do każdej z nich dodać po 1,5ml 1,5M roztworu NaOH, wymieszać. </w:t>
      </w:r>
    </w:p>
    <w:p w:rsidR="004C0383" w:rsidRDefault="00E90EC0" w:rsidP="004C0383">
      <w:pPr>
        <w:pStyle w:val="Akapitzlist"/>
        <w:numPr>
          <w:ilvl w:val="0"/>
          <w:numId w:val="6"/>
        </w:numPr>
        <w:jc w:val="both"/>
        <w:rPr>
          <w:bCs/>
          <w:sz w:val="23"/>
        </w:rPr>
      </w:pPr>
      <w:r w:rsidRPr="00FA09FF">
        <w:rPr>
          <w:bCs/>
          <w:sz w:val="23"/>
        </w:rPr>
        <w:t>Na podstawie różnic zabarwienia ocenić, w których probówkach nastąpiło zużycie pirogronianu.</w:t>
      </w:r>
    </w:p>
    <w:p w:rsidR="00E90EC0" w:rsidRPr="004C0383" w:rsidRDefault="00E90EC0" w:rsidP="004C0383">
      <w:pPr>
        <w:pStyle w:val="Akapitzlist"/>
        <w:numPr>
          <w:ilvl w:val="0"/>
          <w:numId w:val="6"/>
        </w:numPr>
        <w:jc w:val="both"/>
        <w:rPr>
          <w:bCs/>
          <w:sz w:val="23"/>
        </w:rPr>
      </w:pPr>
      <w:r w:rsidRPr="004C0383">
        <w:rPr>
          <w:bCs/>
          <w:sz w:val="23"/>
        </w:rPr>
        <w:t>Porównać zużycie heksacyjanożelazianu (III) potasu w probówkach 4, 5 i 6.</w:t>
      </w:r>
    </w:p>
    <w:p w:rsidR="00E90EC0" w:rsidRDefault="00E90EC0" w:rsidP="00E90EC0">
      <w:pPr>
        <w:jc w:val="center"/>
        <w:rPr>
          <w:sz w:val="23"/>
        </w:rPr>
      </w:pPr>
    </w:p>
    <w:p w:rsidR="00E90EC0" w:rsidRDefault="00E90EC0" w:rsidP="00E90EC0">
      <w:pPr>
        <w:jc w:val="center"/>
        <w:rPr>
          <w:sz w:val="23"/>
        </w:rPr>
      </w:pPr>
    </w:p>
    <w:p w:rsidR="00E90EC0" w:rsidRDefault="00E90EC0" w:rsidP="00E90EC0">
      <w:pPr>
        <w:jc w:val="center"/>
        <w:rPr>
          <w:sz w:val="23"/>
        </w:rPr>
      </w:pPr>
    </w:p>
    <w:p w:rsidR="004C0383" w:rsidRDefault="004C0383" w:rsidP="00E90EC0">
      <w:pPr>
        <w:jc w:val="center"/>
        <w:rPr>
          <w:sz w:val="23"/>
        </w:rPr>
      </w:pPr>
    </w:p>
    <w:p w:rsidR="004C0383" w:rsidRDefault="004C0383" w:rsidP="00E90EC0">
      <w:pPr>
        <w:jc w:val="center"/>
        <w:rPr>
          <w:sz w:val="23"/>
        </w:rPr>
      </w:pPr>
    </w:p>
    <w:p w:rsidR="004C0383" w:rsidRDefault="004C0383" w:rsidP="00E90EC0">
      <w:pPr>
        <w:jc w:val="center"/>
        <w:rPr>
          <w:sz w:val="23"/>
        </w:rPr>
      </w:pPr>
    </w:p>
    <w:p w:rsidR="004C0383" w:rsidRDefault="004C0383" w:rsidP="00E90EC0">
      <w:pPr>
        <w:jc w:val="center"/>
        <w:rPr>
          <w:sz w:val="23"/>
        </w:rPr>
      </w:pPr>
    </w:p>
    <w:p w:rsidR="00E90EC0" w:rsidRPr="003834C2" w:rsidRDefault="003834C2" w:rsidP="003834C2">
      <w:pPr>
        <w:rPr>
          <w:b/>
          <w:sz w:val="23"/>
        </w:rPr>
      </w:pPr>
      <w:r>
        <w:rPr>
          <w:sz w:val="23"/>
        </w:rPr>
        <w:br w:type="page"/>
      </w:r>
      <w:r w:rsidR="00E90EC0" w:rsidRPr="003834C2">
        <w:rPr>
          <w:b/>
          <w:sz w:val="23"/>
        </w:rPr>
        <w:lastRenderedPageBreak/>
        <w:t xml:space="preserve">Tabela </w:t>
      </w:r>
      <w:r w:rsidR="00C638E4">
        <w:rPr>
          <w:b/>
          <w:sz w:val="23"/>
        </w:rPr>
        <w:t>1</w:t>
      </w:r>
    </w:p>
    <w:p w:rsidR="00E90EC0" w:rsidRDefault="00E90EC0" w:rsidP="00E90EC0">
      <w:pPr>
        <w:jc w:val="center"/>
        <w:rPr>
          <w:b/>
          <w:sz w:val="23"/>
        </w:rPr>
      </w:pPr>
      <w:r>
        <w:rPr>
          <w:b/>
          <w:sz w:val="23"/>
        </w:rPr>
        <w:t>Próby bez heksacyjanożelazianu potasu</w:t>
      </w:r>
    </w:p>
    <w:p w:rsidR="00E90EC0" w:rsidRDefault="00E90EC0" w:rsidP="00E90EC0">
      <w:pPr>
        <w:jc w:val="center"/>
        <w:rPr>
          <w:b/>
          <w:sz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3"/>
        <w:gridCol w:w="2016"/>
        <w:gridCol w:w="1173"/>
        <w:gridCol w:w="1194"/>
        <w:gridCol w:w="2222"/>
        <w:gridCol w:w="1169"/>
        <w:gridCol w:w="1051"/>
      </w:tblGrid>
      <w:tr w:rsidR="00E90EC0" w:rsidTr="003834C2">
        <w:tc>
          <w:tcPr>
            <w:tcW w:w="2479" w:type="dxa"/>
            <w:gridSpan w:val="2"/>
            <w:tcBorders>
              <w:top w:val="nil"/>
              <w:left w:val="nil"/>
              <w:bottom w:val="single" w:sz="4" w:space="0" w:color="auto"/>
              <w:right w:val="single" w:sz="4" w:space="0" w:color="auto"/>
            </w:tcBorders>
          </w:tcPr>
          <w:p w:rsidR="00E90EC0" w:rsidRDefault="00E90EC0" w:rsidP="00E90EC0">
            <w:pPr>
              <w:jc w:val="center"/>
              <w:rPr>
                <w:sz w:val="23"/>
              </w:rPr>
            </w:pPr>
          </w:p>
        </w:tc>
        <w:tc>
          <w:tcPr>
            <w:tcW w:w="6809" w:type="dxa"/>
            <w:gridSpan w:val="5"/>
            <w:tcBorders>
              <w:left w:val="single" w:sz="4" w:space="0" w:color="auto"/>
            </w:tcBorders>
          </w:tcPr>
          <w:p w:rsidR="00E90EC0" w:rsidRDefault="00E90EC0" w:rsidP="00E90EC0">
            <w:pPr>
              <w:jc w:val="center"/>
              <w:rPr>
                <w:b/>
                <w:sz w:val="23"/>
              </w:rPr>
            </w:pPr>
            <w:r>
              <w:rPr>
                <w:b/>
                <w:sz w:val="23"/>
              </w:rPr>
              <w:t>Zawartość</w:t>
            </w:r>
          </w:p>
        </w:tc>
      </w:tr>
      <w:tr w:rsidR="00E90EC0" w:rsidTr="003834C2">
        <w:tc>
          <w:tcPr>
            <w:tcW w:w="2479" w:type="dxa"/>
            <w:gridSpan w:val="2"/>
            <w:tcBorders>
              <w:top w:val="single" w:sz="4" w:space="0" w:color="auto"/>
              <w:left w:val="single" w:sz="4" w:space="0" w:color="auto"/>
              <w:bottom w:val="single" w:sz="4" w:space="0" w:color="auto"/>
              <w:right w:val="single" w:sz="4" w:space="0" w:color="auto"/>
            </w:tcBorders>
          </w:tcPr>
          <w:p w:rsidR="004C0383" w:rsidRDefault="004C0383" w:rsidP="004C0383">
            <w:pPr>
              <w:tabs>
                <w:tab w:val="center" w:pos="1131"/>
              </w:tabs>
              <w:rPr>
                <w:b/>
                <w:sz w:val="23"/>
              </w:rPr>
            </w:pPr>
            <w:r>
              <w:rPr>
                <w:b/>
                <w:sz w:val="23"/>
              </w:rPr>
              <w:tab/>
            </w:r>
          </w:p>
          <w:p w:rsidR="004C0383" w:rsidRDefault="004C0383" w:rsidP="004C0383">
            <w:pPr>
              <w:tabs>
                <w:tab w:val="center" w:pos="1131"/>
              </w:tabs>
              <w:rPr>
                <w:b/>
                <w:sz w:val="23"/>
              </w:rPr>
            </w:pPr>
          </w:p>
          <w:p w:rsidR="00E90EC0" w:rsidRDefault="004C0383" w:rsidP="004C0383">
            <w:pPr>
              <w:tabs>
                <w:tab w:val="center" w:pos="1131"/>
              </w:tabs>
              <w:jc w:val="center"/>
              <w:rPr>
                <w:b/>
                <w:sz w:val="23"/>
              </w:rPr>
            </w:pPr>
            <w:r>
              <w:rPr>
                <w:b/>
                <w:sz w:val="23"/>
              </w:rPr>
              <w:t>Próba</w:t>
            </w:r>
          </w:p>
        </w:tc>
        <w:tc>
          <w:tcPr>
            <w:tcW w:w="1173" w:type="dxa"/>
            <w:tcBorders>
              <w:top w:val="single" w:sz="4" w:space="0" w:color="auto"/>
              <w:left w:val="single" w:sz="4" w:space="0" w:color="auto"/>
              <w:bottom w:val="single" w:sz="4" w:space="0" w:color="auto"/>
              <w:right w:val="single" w:sz="4" w:space="0" w:color="auto"/>
            </w:tcBorders>
          </w:tcPr>
          <w:p w:rsidR="00E90EC0" w:rsidRDefault="00E90EC0" w:rsidP="00E90EC0">
            <w:pPr>
              <w:jc w:val="center"/>
              <w:rPr>
                <w:b/>
                <w:sz w:val="23"/>
              </w:rPr>
            </w:pPr>
            <w:r>
              <w:rPr>
                <w:b/>
                <w:sz w:val="23"/>
              </w:rPr>
              <w:t>0,2M bufor fosf. pH 7,2</w:t>
            </w:r>
          </w:p>
        </w:tc>
        <w:tc>
          <w:tcPr>
            <w:tcW w:w="1194" w:type="dxa"/>
            <w:tcBorders>
              <w:left w:val="single" w:sz="4" w:space="0" w:color="auto"/>
            </w:tcBorders>
          </w:tcPr>
          <w:p w:rsidR="00E90EC0" w:rsidRDefault="00E90EC0" w:rsidP="00E90EC0">
            <w:pPr>
              <w:jc w:val="center"/>
              <w:rPr>
                <w:b/>
                <w:sz w:val="23"/>
              </w:rPr>
            </w:pPr>
            <w:r>
              <w:rPr>
                <w:b/>
                <w:sz w:val="23"/>
              </w:rPr>
              <w:t>0,05M pirogronian</w:t>
            </w:r>
          </w:p>
        </w:tc>
        <w:tc>
          <w:tcPr>
            <w:tcW w:w="2222" w:type="dxa"/>
          </w:tcPr>
          <w:p w:rsidR="00E90EC0" w:rsidRDefault="00E90EC0" w:rsidP="00E90EC0">
            <w:pPr>
              <w:jc w:val="center"/>
              <w:rPr>
                <w:b/>
                <w:sz w:val="23"/>
              </w:rPr>
            </w:pPr>
            <w:r>
              <w:rPr>
                <w:b/>
                <w:sz w:val="23"/>
              </w:rPr>
              <w:t>0,1M heksacyjanożelazian</w:t>
            </w:r>
          </w:p>
        </w:tc>
        <w:tc>
          <w:tcPr>
            <w:tcW w:w="1169" w:type="dxa"/>
          </w:tcPr>
          <w:p w:rsidR="00E90EC0" w:rsidRDefault="00E90EC0" w:rsidP="00E90EC0">
            <w:pPr>
              <w:jc w:val="center"/>
              <w:rPr>
                <w:b/>
                <w:sz w:val="23"/>
              </w:rPr>
            </w:pPr>
            <w:r>
              <w:rPr>
                <w:b/>
                <w:sz w:val="23"/>
              </w:rPr>
              <w:t>0,02M arsenian</w:t>
            </w:r>
          </w:p>
        </w:tc>
        <w:tc>
          <w:tcPr>
            <w:tcW w:w="1051" w:type="dxa"/>
          </w:tcPr>
          <w:p w:rsidR="00E90EC0" w:rsidRDefault="00E90EC0" w:rsidP="00E90EC0">
            <w:pPr>
              <w:jc w:val="center"/>
              <w:rPr>
                <w:b/>
                <w:sz w:val="23"/>
              </w:rPr>
            </w:pPr>
            <w:r>
              <w:rPr>
                <w:b/>
                <w:sz w:val="23"/>
              </w:rPr>
              <w:t>H</w:t>
            </w:r>
            <w:r>
              <w:rPr>
                <w:b/>
                <w:sz w:val="23"/>
                <w:vertAlign w:val="subscript"/>
              </w:rPr>
              <w:t>2</w:t>
            </w:r>
            <w:r>
              <w:rPr>
                <w:b/>
                <w:sz w:val="23"/>
              </w:rPr>
              <w:t>O redest.</w:t>
            </w:r>
          </w:p>
        </w:tc>
      </w:tr>
      <w:tr w:rsidR="00E90EC0" w:rsidTr="003834C2">
        <w:tc>
          <w:tcPr>
            <w:tcW w:w="463" w:type="dxa"/>
            <w:tcBorders>
              <w:top w:val="single" w:sz="4" w:space="0" w:color="auto"/>
            </w:tcBorders>
            <w:vAlign w:val="center"/>
          </w:tcPr>
          <w:p w:rsidR="00E90EC0" w:rsidRDefault="00E90EC0" w:rsidP="00E90EC0">
            <w:pPr>
              <w:jc w:val="center"/>
              <w:rPr>
                <w:sz w:val="23"/>
              </w:rPr>
            </w:pPr>
            <w:r>
              <w:rPr>
                <w:sz w:val="23"/>
              </w:rPr>
              <w:t>1</w:t>
            </w:r>
          </w:p>
        </w:tc>
        <w:tc>
          <w:tcPr>
            <w:tcW w:w="2016" w:type="dxa"/>
            <w:tcBorders>
              <w:top w:val="single" w:sz="4" w:space="0" w:color="auto"/>
            </w:tcBorders>
            <w:vAlign w:val="center"/>
          </w:tcPr>
          <w:p w:rsidR="00E90EC0" w:rsidRPr="004C0383" w:rsidRDefault="00E90EC0" w:rsidP="00E90EC0">
            <w:pPr>
              <w:jc w:val="center"/>
              <w:rPr>
                <w:b/>
                <w:sz w:val="23"/>
              </w:rPr>
            </w:pPr>
            <w:r w:rsidRPr="004C0383">
              <w:rPr>
                <w:b/>
                <w:sz w:val="23"/>
              </w:rPr>
              <w:t>Kontrolna (enzymy zdenaturowane)</w:t>
            </w:r>
          </w:p>
        </w:tc>
        <w:tc>
          <w:tcPr>
            <w:tcW w:w="1173" w:type="dxa"/>
            <w:tcBorders>
              <w:top w:val="single" w:sz="4" w:space="0" w:color="auto"/>
            </w:tcBorders>
            <w:vAlign w:val="center"/>
          </w:tcPr>
          <w:p w:rsidR="00E90EC0" w:rsidRDefault="00E90EC0" w:rsidP="00E90EC0">
            <w:pPr>
              <w:jc w:val="center"/>
              <w:rPr>
                <w:sz w:val="23"/>
              </w:rPr>
            </w:pPr>
            <w:r>
              <w:rPr>
                <w:sz w:val="23"/>
              </w:rPr>
              <w:t>0,2 ml</w:t>
            </w:r>
          </w:p>
        </w:tc>
        <w:tc>
          <w:tcPr>
            <w:tcW w:w="1194" w:type="dxa"/>
            <w:vAlign w:val="center"/>
          </w:tcPr>
          <w:p w:rsidR="00E90EC0" w:rsidRDefault="00E90EC0" w:rsidP="00E90EC0">
            <w:pPr>
              <w:jc w:val="center"/>
              <w:rPr>
                <w:sz w:val="23"/>
              </w:rPr>
            </w:pPr>
            <w:r>
              <w:rPr>
                <w:sz w:val="23"/>
              </w:rPr>
              <w:t>0,1 ml</w:t>
            </w:r>
          </w:p>
        </w:tc>
        <w:tc>
          <w:tcPr>
            <w:tcW w:w="2222" w:type="dxa"/>
            <w:vAlign w:val="center"/>
          </w:tcPr>
          <w:p w:rsidR="00E90EC0" w:rsidRDefault="00E90EC0" w:rsidP="00E90EC0">
            <w:pPr>
              <w:jc w:val="center"/>
              <w:rPr>
                <w:sz w:val="23"/>
              </w:rPr>
            </w:pPr>
            <w:r>
              <w:rPr>
                <w:sz w:val="23"/>
              </w:rPr>
              <w:t>-</w:t>
            </w:r>
          </w:p>
        </w:tc>
        <w:tc>
          <w:tcPr>
            <w:tcW w:w="1169" w:type="dxa"/>
            <w:vAlign w:val="center"/>
          </w:tcPr>
          <w:p w:rsidR="00E90EC0" w:rsidRDefault="00E90EC0" w:rsidP="00E90EC0">
            <w:pPr>
              <w:jc w:val="center"/>
              <w:rPr>
                <w:sz w:val="23"/>
              </w:rPr>
            </w:pPr>
            <w:r>
              <w:rPr>
                <w:sz w:val="23"/>
              </w:rPr>
              <w:t>-</w:t>
            </w:r>
          </w:p>
        </w:tc>
        <w:tc>
          <w:tcPr>
            <w:tcW w:w="1051" w:type="dxa"/>
            <w:vAlign w:val="center"/>
          </w:tcPr>
          <w:p w:rsidR="00E90EC0" w:rsidRDefault="00E90EC0" w:rsidP="00E90EC0">
            <w:pPr>
              <w:jc w:val="center"/>
              <w:rPr>
                <w:sz w:val="23"/>
              </w:rPr>
            </w:pPr>
            <w:r>
              <w:rPr>
                <w:sz w:val="23"/>
              </w:rPr>
              <w:t>0,2 ml</w:t>
            </w:r>
          </w:p>
        </w:tc>
      </w:tr>
      <w:tr w:rsidR="00E90EC0" w:rsidTr="003834C2">
        <w:tc>
          <w:tcPr>
            <w:tcW w:w="463" w:type="dxa"/>
            <w:vAlign w:val="center"/>
          </w:tcPr>
          <w:p w:rsidR="00E90EC0" w:rsidRDefault="00E90EC0" w:rsidP="00E90EC0">
            <w:pPr>
              <w:jc w:val="center"/>
              <w:rPr>
                <w:sz w:val="23"/>
              </w:rPr>
            </w:pPr>
            <w:r>
              <w:rPr>
                <w:sz w:val="23"/>
              </w:rPr>
              <w:t>2</w:t>
            </w:r>
          </w:p>
        </w:tc>
        <w:tc>
          <w:tcPr>
            <w:tcW w:w="2016" w:type="dxa"/>
            <w:vAlign w:val="center"/>
          </w:tcPr>
          <w:p w:rsidR="00E90EC0" w:rsidRPr="004C0383" w:rsidRDefault="00E90EC0" w:rsidP="00E90EC0">
            <w:pPr>
              <w:jc w:val="center"/>
              <w:rPr>
                <w:b/>
                <w:sz w:val="23"/>
              </w:rPr>
            </w:pPr>
            <w:r w:rsidRPr="004C0383">
              <w:rPr>
                <w:b/>
                <w:sz w:val="23"/>
              </w:rPr>
              <w:t>Właściwa</w:t>
            </w:r>
          </w:p>
        </w:tc>
        <w:tc>
          <w:tcPr>
            <w:tcW w:w="1173" w:type="dxa"/>
            <w:vAlign w:val="center"/>
          </w:tcPr>
          <w:p w:rsidR="00E90EC0" w:rsidRDefault="00E90EC0" w:rsidP="00E90EC0">
            <w:pPr>
              <w:jc w:val="center"/>
              <w:rPr>
                <w:sz w:val="23"/>
              </w:rPr>
            </w:pPr>
            <w:r>
              <w:rPr>
                <w:sz w:val="23"/>
              </w:rPr>
              <w:t>0,2 ml</w:t>
            </w:r>
          </w:p>
        </w:tc>
        <w:tc>
          <w:tcPr>
            <w:tcW w:w="1194" w:type="dxa"/>
            <w:vAlign w:val="center"/>
          </w:tcPr>
          <w:p w:rsidR="00E90EC0" w:rsidRDefault="00E90EC0" w:rsidP="00E90EC0">
            <w:pPr>
              <w:jc w:val="center"/>
              <w:rPr>
                <w:sz w:val="23"/>
              </w:rPr>
            </w:pPr>
            <w:r>
              <w:rPr>
                <w:sz w:val="23"/>
              </w:rPr>
              <w:t>0,1 ml</w:t>
            </w:r>
          </w:p>
        </w:tc>
        <w:tc>
          <w:tcPr>
            <w:tcW w:w="2222" w:type="dxa"/>
            <w:vAlign w:val="center"/>
          </w:tcPr>
          <w:p w:rsidR="00E90EC0" w:rsidRDefault="00E90EC0" w:rsidP="00E90EC0">
            <w:pPr>
              <w:jc w:val="center"/>
              <w:rPr>
                <w:sz w:val="23"/>
              </w:rPr>
            </w:pPr>
            <w:r>
              <w:rPr>
                <w:sz w:val="23"/>
              </w:rPr>
              <w:t>-</w:t>
            </w:r>
          </w:p>
        </w:tc>
        <w:tc>
          <w:tcPr>
            <w:tcW w:w="1169" w:type="dxa"/>
            <w:vAlign w:val="center"/>
          </w:tcPr>
          <w:p w:rsidR="00E90EC0" w:rsidRDefault="00E90EC0" w:rsidP="00E90EC0">
            <w:pPr>
              <w:jc w:val="center"/>
              <w:rPr>
                <w:sz w:val="23"/>
              </w:rPr>
            </w:pPr>
            <w:r>
              <w:rPr>
                <w:sz w:val="23"/>
              </w:rPr>
              <w:t>-</w:t>
            </w:r>
          </w:p>
        </w:tc>
        <w:tc>
          <w:tcPr>
            <w:tcW w:w="1051" w:type="dxa"/>
            <w:vAlign w:val="center"/>
          </w:tcPr>
          <w:p w:rsidR="00E90EC0" w:rsidRDefault="00E90EC0" w:rsidP="00E90EC0">
            <w:pPr>
              <w:jc w:val="center"/>
              <w:rPr>
                <w:sz w:val="23"/>
              </w:rPr>
            </w:pPr>
            <w:r>
              <w:rPr>
                <w:sz w:val="23"/>
              </w:rPr>
              <w:t>0,2 ml</w:t>
            </w:r>
          </w:p>
        </w:tc>
      </w:tr>
      <w:tr w:rsidR="00E90EC0" w:rsidTr="003834C2">
        <w:tc>
          <w:tcPr>
            <w:tcW w:w="463" w:type="dxa"/>
            <w:vAlign w:val="center"/>
          </w:tcPr>
          <w:p w:rsidR="00E90EC0" w:rsidRDefault="00E90EC0" w:rsidP="00E90EC0">
            <w:pPr>
              <w:jc w:val="center"/>
              <w:rPr>
                <w:sz w:val="23"/>
              </w:rPr>
            </w:pPr>
            <w:r>
              <w:rPr>
                <w:sz w:val="23"/>
              </w:rPr>
              <w:t>3</w:t>
            </w:r>
          </w:p>
        </w:tc>
        <w:tc>
          <w:tcPr>
            <w:tcW w:w="2016" w:type="dxa"/>
            <w:vAlign w:val="center"/>
          </w:tcPr>
          <w:p w:rsidR="00E90EC0" w:rsidRPr="004C0383" w:rsidRDefault="00E90EC0" w:rsidP="00E90EC0">
            <w:pPr>
              <w:jc w:val="center"/>
              <w:rPr>
                <w:b/>
                <w:sz w:val="23"/>
              </w:rPr>
            </w:pPr>
            <w:r w:rsidRPr="004C0383">
              <w:rPr>
                <w:b/>
                <w:sz w:val="23"/>
              </w:rPr>
              <w:t>Właściwa z inhibitorem</w:t>
            </w:r>
          </w:p>
        </w:tc>
        <w:tc>
          <w:tcPr>
            <w:tcW w:w="1173" w:type="dxa"/>
            <w:vAlign w:val="center"/>
          </w:tcPr>
          <w:p w:rsidR="00E90EC0" w:rsidRDefault="00E90EC0" w:rsidP="00E90EC0">
            <w:pPr>
              <w:jc w:val="center"/>
              <w:rPr>
                <w:sz w:val="23"/>
              </w:rPr>
            </w:pPr>
            <w:r>
              <w:rPr>
                <w:sz w:val="23"/>
              </w:rPr>
              <w:t>0,2 ml</w:t>
            </w:r>
          </w:p>
        </w:tc>
        <w:tc>
          <w:tcPr>
            <w:tcW w:w="1194" w:type="dxa"/>
            <w:vAlign w:val="center"/>
          </w:tcPr>
          <w:p w:rsidR="00E90EC0" w:rsidRDefault="00E90EC0" w:rsidP="00E90EC0">
            <w:pPr>
              <w:jc w:val="center"/>
              <w:rPr>
                <w:sz w:val="23"/>
              </w:rPr>
            </w:pPr>
            <w:r>
              <w:rPr>
                <w:sz w:val="23"/>
              </w:rPr>
              <w:t>0,1 ml</w:t>
            </w:r>
          </w:p>
        </w:tc>
        <w:tc>
          <w:tcPr>
            <w:tcW w:w="2222" w:type="dxa"/>
            <w:vAlign w:val="center"/>
          </w:tcPr>
          <w:p w:rsidR="00E90EC0" w:rsidRDefault="00E90EC0" w:rsidP="00E90EC0">
            <w:pPr>
              <w:jc w:val="center"/>
              <w:rPr>
                <w:sz w:val="23"/>
              </w:rPr>
            </w:pPr>
            <w:r>
              <w:rPr>
                <w:sz w:val="23"/>
              </w:rPr>
              <w:t>-</w:t>
            </w:r>
          </w:p>
        </w:tc>
        <w:tc>
          <w:tcPr>
            <w:tcW w:w="1169" w:type="dxa"/>
            <w:vAlign w:val="center"/>
          </w:tcPr>
          <w:p w:rsidR="00E90EC0" w:rsidRDefault="00E90EC0" w:rsidP="00E90EC0">
            <w:pPr>
              <w:jc w:val="center"/>
              <w:rPr>
                <w:sz w:val="23"/>
              </w:rPr>
            </w:pPr>
            <w:r>
              <w:rPr>
                <w:sz w:val="23"/>
              </w:rPr>
              <w:t>0,1 ml</w:t>
            </w:r>
          </w:p>
        </w:tc>
        <w:tc>
          <w:tcPr>
            <w:tcW w:w="1051" w:type="dxa"/>
            <w:vAlign w:val="center"/>
          </w:tcPr>
          <w:p w:rsidR="00E90EC0" w:rsidRDefault="00E90EC0" w:rsidP="00E90EC0">
            <w:pPr>
              <w:jc w:val="center"/>
              <w:rPr>
                <w:sz w:val="23"/>
              </w:rPr>
            </w:pPr>
            <w:r>
              <w:rPr>
                <w:sz w:val="23"/>
              </w:rPr>
              <w:t>0,1 ml</w:t>
            </w:r>
          </w:p>
        </w:tc>
      </w:tr>
    </w:tbl>
    <w:p w:rsidR="00E90EC0" w:rsidRDefault="00E90EC0" w:rsidP="003834C2">
      <w:pPr>
        <w:rPr>
          <w:sz w:val="23"/>
        </w:rPr>
      </w:pPr>
    </w:p>
    <w:p w:rsidR="00E90EC0" w:rsidRDefault="00E90EC0" w:rsidP="00E90EC0">
      <w:pPr>
        <w:jc w:val="center"/>
        <w:rPr>
          <w:b/>
          <w:sz w:val="23"/>
        </w:rPr>
      </w:pPr>
      <w:r>
        <w:rPr>
          <w:b/>
          <w:sz w:val="23"/>
        </w:rPr>
        <w:t>Próby z heksacyjanożelazianem potasu</w:t>
      </w:r>
    </w:p>
    <w:p w:rsidR="00E90EC0" w:rsidRDefault="00E90EC0" w:rsidP="00E90EC0">
      <w:pPr>
        <w:jc w:val="center"/>
        <w:rPr>
          <w:sz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
        <w:gridCol w:w="1801"/>
        <w:gridCol w:w="1114"/>
        <w:gridCol w:w="1443"/>
        <w:gridCol w:w="2309"/>
        <w:gridCol w:w="1157"/>
        <w:gridCol w:w="1025"/>
      </w:tblGrid>
      <w:tr w:rsidR="00E90EC0" w:rsidTr="003834C2">
        <w:tc>
          <w:tcPr>
            <w:tcW w:w="2240" w:type="dxa"/>
            <w:gridSpan w:val="2"/>
            <w:tcBorders>
              <w:top w:val="nil"/>
              <w:left w:val="nil"/>
            </w:tcBorders>
          </w:tcPr>
          <w:p w:rsidR="00E90EC0" w:rsidRDefault="00E90EC0" w:rsidP="00E90EC0">
            <w:pPr>
              <w:jc w:val="center"/>
              <w:rPr>
                <w:sz w:val="23"/>
              </w:rPr>
            </w:pPr>
          </w:p>
        </w:tc>
        <w:tc>
          <w:tcPr>
            <w:tcW w:w="7048" w:type="dxa"/>
            <w:gridSpan w:val="5"/>
          </w:tcPr>
          <w:p w:rsidR="00E90EC0" w:rsidRDefault="00E90EC0" w:rsidP="00E90EC0">
            <w:pPr>
              <w:jc w:val="center"/>
              <w:rPr>
                <w:b/>
                <w:sz w:val="23"/>
              </w:rPr>
            </w:pPr>
            <w:r>
              <w:rPr>
                <w:b/>
                <w:sz w:val="23"/>
              </w:rPr>
              <w:t>Zawartość</w:t>
            </w:r>
          </w:p>
        </w:tc>
      </w:tr>
      <w:tr w:rsidR="00E90EC0" w:rsidTr="003834C2">
        <w:tc>
          <w:tcPr>
            <w:tcW w:w="2240" w:type="dxa"/>
            <w:gridSpan w:val="2"/>
          </w:tcPr>
          <w:p w:rsidR="004C0383" w:rsidRDefault="004C0383" w:rsidP="00E90EC0">
            <w:pPr>
              <w:jc w:val="center"/>
              <w:rPr>
                <w:b/>
                <w:sz w:val="23"/>
              </w:rPr>
            </w:pPr>
          </w:p>
          <w:p w:rsidR="00E90EC0" w:rsidRDefault="00E90EC0" w:rsidP="00E90EC0">
            <w:pPr>
              <w:jc w:val="center"/>
              <w:rPr>
                <w:b/>
                <w:sz w:val="23"/>
              </w:rPr>
            </w:pPr>
            <w:r>
              <w:rPr>
                <w:b/>
                <w:sz w:val="23"/>
              </w:rPr>
              <w:t>Próba</w:t>
            </w:r>
          </w:p>
        </w:tc>
        <w:tc>
          <w:tcPr>
            <w:tcW w:w="1114" w:type="dxa"/>
          </w:tcPr>
          <w:p w:rsidR="00E90EC0" w:rsidRDefault="00E90EC0" w:rsidP="00E90EC0">
            <w:pPr>
              <w:jc w:val="center"/>
              <w:rPr>
                <w:b/>
                <w:sz w:val="23"/>
              </w:rPr>
            </w:pPr>
            <w:r>
              <w:rPr>
                <w:b/>
                <w:sz w:val="23"/>
              </w:rPr>
              <w:t>0,2M bufor fosf. pH 7,2</w:t>
            </w:r>
          </w:p>
        </w:tc>
        <w:tc>
          <w:tcPr>
            <w:tcW w:w="1443" w:type="dxa"/>
          </w:tcPr>
          <w:p w:rsidR="00E90EC0" w:rsidRDefault="00E90EC0" w:rsidP="00E90EC0">
            <w:pPr>
              <w:jc w:val="center"/>
              <w:rPr>
                <w:b/>
                <w:sz w:val="23"/>
              </w:rPr>
            </w:pPr>
            <w:r>
              <w:rPr>
                <w:b/>
                <w:sz w:val="23"/>
              </w:rPr>
              <w:t>0,05M pirogronian</w:t>
            </w:r>
          </w:p>
        </w:tc>
        <w:tc>
          <w:tcPr>
            <w:tcW w:w="2309" w:type="dxa"/>
          </w:tcPr>
          <w:p w:rsidR="00E90EC0" w:rsidRDefault="00E90EC0" w:rsidP="00E90EC0">
            <w:pPr>
              <w:jc w:val="center"/>
              <w:rPr>
                <w:b/>
                <w:sz w:val="23"/>
              </w:rPr>
            </w:pPr>
            <w:r>
              <w:rPr>
                <w:b/>
                <w:sz w:val="23"/>
              </w:rPr>
              <w:t>0,1M heksacyjanożelazian</w:t>
            </w:r>
          </w:p>
        </w:tc>
        <w:tc>
          <w:tcPr>
            <w:tcW w:w="1157" w:type="dxa"/>
          </w:tcPr>
          <w:p w:rsidR="00E90EC0" w:rsidRDefault="00E90EC0" w:rsidP="00E90EC0">
            <w:pPr>
              <w:jc w:val="center"/>
              <w:rPr>
                <w:b/>
                <w:sz w:val="23"/>
              </w:rPr>
            </w:pPr>
            <w:r>
              <w:rPr>
                <w:b/>
                <w:sz w:val="23"/>
              </w:rPr>
              <w:t>0,02M arsenian</w:t>
            </w:r>
          </w:p>
        </w:tc>
        <w:tc>
          <w:tcPr>
            <w:tcW w:w="1025" w:type="dxa"/>
          </w:tcPr>
          <w:p w:rsidR="00E90EC0" w:rsidRDefault="00E90EC0" w:rsidP="00E90EC0">
            <w:pPr>
              <w:jc w:val="center"/>
              <w:rPr>
                <w:b/>
                <w:sz w:val="23"/>
              </w:rPr>
            </w:pPr>
            <w:r>
              <w:rPr>
                <w:b/>
                <w:sz w:val="23"/>
              </w:rPr>
              <w:t>H</w:t>
            </w:r>
            <w:r>
              <w:rPr>
                <w:b/>
                <w:sz w:val="23"/>
                <w:vertAlign w:val="subscript"/>
              </w:rPr>
              <w:t>2</w:t>
            </w:r>
            <w:r>
              <w:rPr>
                <w:b/>
                <w:sz w:val="23"/>
              </w:rPr>
              <w:t>O redest.</w:t>
            </w:r>
          </w:p>
        </w:tc>
      </w:tr>
      <w:tr w:rsidR="00E90EC0" w:rsidTr="003834C2">
        <w:tc>
          <w:tcPr>
            <w:tcW w:w="439" w:type="dxa"/>
            <w:vAlign w:val="center"/>
          </w:tcPr>
          <w:p w:rsidR="00E90EC0" w:rsidRDefault="00E90EC0" w:rsidP="00E90EC0">
            <w:pPr>
              <w:jc w:val="center"/>
              <w:rPr>
                <w:sz w:val="23"/>
              </w:rPr>
            </w:pPr>
            <w:r>
              <w:rPr>
                <w:sz w:val="23"/>
              </w:rPr>
              <w:t>4</w:t>
            </w:r>
          </w:p>
        </w:tc>
        <w:tc>
          <w:tcPr>
            <w:tcW w:w="1801" w:type="dxa"/>
            <w:vAlign w:val="center"/>
          </w:tcPr>
          <w:p w:rsidR="00E90EC0" w:rsidRPr="004C0383" w:rsidRDefault="00E90EC0" w:rsidP="00E90EC0">
            <w:pPr>
              <w:jc w:val="center"/>
              <w:rPr>
                <w:b/>
                <w:sz w:val="23"/>
              </w:rPr>
            </w:pPr>
            <w:r w:rsidRPr="004C0383">
              <w:rPr>
                <w:b/>
                <w:sz w:val="23"/>
              </w:rPr>
              <w:t>Kontrolna (enzymy zdenaturowane)</w:t>
            </w:r>
          </w:p>
        </w:tc>
        <w:tc>
          <w:tcPr>
            <w:tcW w:w="1114" w:type="dxa"/>
            <w:vAlign w:val="center"/>
          </w:tcPr>
          <w:p w:rsidR="00E90EC0" w:rsidRDefault="00E90EC0" w:rsidP="00E90EC0">
            <w:pPr>
              <w:jc w:val="center"/>
              <w:rPr>
                <w:sz w:val="23"/>
              </w:rPr>
            </w:pPr>
            <w:r>
              <w:rPr>
                <w:sz w:val="23"/>
              </w:rPr>
              <w:t>0,2 ml</w:t>
            </w:r>
          </w:p>
        </w:tc>
        <w:tc>
          <w:tcPr>
            <w:tcW w:w="1443" w:type="dxa"/>
            <w:vAlign w:val="center"/>
          </w:tcPr>
          <w:p w:rsidR="00E90EC0" w:rsidRDefault="00E90EC0" w:rsidP="00E90EC0">
            <w:pPr>
              <w:jc w:val="center"/>
              <w:rPr>
                <w:sz w:val="23"/>
              </w:rPr>
            </w:pPr>
            <w:r>
              <w:rPr>
                <w:sz w:val="23"/>
              </w:rPr>
              <w:t>0,1 ml</w:t>
            </w:r>
          </w:p>
        </w:tc>
        <w:tc>
          <w:tcPr>
            <w:tcW w:w="2309" w:type="dxa"/>
            <w:vAlign w:val="center"/>
          </w:tcPr>
          <w:p w:rsidR="00E90EC0" w:rsidRDefault="00E90EC0" w:rsidP="00E90EC0">
            <w:pPr>
              <w:jc w:val="center"/>
              <w:rPr>
                <w:sz w:val="23"/>
              </w:rPr>
            </w:pPr>
            <w:r>
              <w:rPr>
                <w:sz w:val="23"/>
              </w:rPr>
              <w:t>0,1 ml</w:t>
            </w:r>
          </w:p>
        </w:tc>
        <w:tc>
          <w:tcPr>
            <w:tcW w:w="1157" w:type="dxa"/>
            <w:vAlign w:val="center"/>
          </w:tcPr>
          <w:p w:rsidR="00E90EC0" w:rsidRDefault="00E90EC0" w:rsidP="00E90EC0">
            <w:pPr>
              <w:jc w:val="center"/>
              <w:rPr>
                <w:sz w:val="23"/>
              </w:rPr>
            </w:pPr>
            <w:r>
              <w:rPr>
                <w:sz w:val="23"/>
              </w:rPr>
              <w:t>-</w:t>
            </w:r>
          </w:p>
        </w:tc>
        <w:tc>
          <w:tcPr>
            <w:tcW w:w="1025" w:type="dxa"/>
            <w:vAlign w:val="center"/>
          </w:tcPr>
          <w:p w:rsidR="00E90EC0" w:rsidRDefault="00E90EC0" w:rsidP="00E90EC0">
            <w:pPr>
              <w:jc w:val="center"/>
              <w:rPr>
                <w:sz w:val="23"/>
              </w:rPr>
            </w:pPr>
            <w:r>
              <w:rPr>
                <w:sz w:val="23"/>
              </w:rPr>
              <w:t>0,1 ml</w:t>
            </w:r>
          </w:p>
        </w:tc>
      </w:tr>
      <w:tr w:rsidR="00E90EC0" w:rsidTr="003834C2">
        <w:tc>
          <w:tcPr>
            <w:tcW w:w="439" w:type="dxa"/>
            <w:vAlign w:val="center"/>
          </w:tcPr>
          <w:p w:rsidR="00E90EC0" w:rsidRDefault="00E90EC0" w:rsidP="00E90EC0">
            <w:pPr>
              <w:jc w:val="center"/>
              <w:rPr>
                <w:sz w:val="23"/>
              </w:rPr>
            </w:pPr>
            <w:r>
              <w:rPr>
                <w:sz w:val="23"/>
              </w:rPr>
              <w:t>5</w:t>
            </w:r>
          </w:p>
        </w:tc>
        <w:tc>
          <w:tcPr>
            <w:tcW w:w="1801" w:type="dxa"/>
            <w:vAlign w:val="center"/>
          </w:tcPr>
          <w:p w:rsidR="00E90EC0" w:rsidRPr="004C0383" w:rsidRDefault="00E90EC0" w:rsidP="00E90EC0">
            <w:pPr>
              <w:jc w:val="center"/>
              <w:rPr>
                <w:b/>
                <w:sz w:val="23"/>
              </w:rPr>
            </w:pPr>
            <w:r w:rsidRPr="004C0383">
              <w:rPr>
                <w:b/>
                <w:sz w:val="23"/>
              </w:rPr>
              <w:t>Właściwa</w:t>
            </w:r>
          </w:p>
        </w:tc>
        <w:tc>
          <w:tcPr>
            <w:tcW w:w="1114" w:type="dxa"/>
            <w:vAlign w:val="center"/>
          </w:tcPr>
          <w:p w:rsidR="00E90EC0" w:rsidRDefault="00E90EC0" w:rsidP="00E90EC0">
            <w:pPr>
              <w:jc w:val="center"/>
              <w:rPr>
                <w:sz w:val="23"/>
              </w:rPr>
            </w:pPr>
            <w:r>
              <w:rPr>
                <w:sz w:val="23"/>
              </w:rPr>
              <w:t>0,2 ml</w:t>
            </w:r>
          </w:p>
        </w:tc>
        <w:tc>
          <w:tcPr>
            <w:tcW w:w="1443" w:type="dxa"/>
            <w:vAlign w:val="center"/>
          </w:tcPr>
          <w:p w:rsidR="00E90EC0" w:rsidRDefault="00E90EC0" w:rsidP="00E90EC0">
            <w:pPr>
              <w:jc w:val="center"/>
              <w:rPr>
                <w:sz w:val="23"/>
              </w:rPr>
            </w:pPr>
            <w:r>
              <w:rPr>
                <w:sz w:val="23"/>
              </w:rPr>
              <w:t>0,1 ml</w:t>
            </w:r>
          </w:p>
        </w:tc>
        <w:tc>
          <w:tcPr>
            <w:tcW w:w="2309" w:type="dxa"/>
            <w:vAlign w:val="center"/>
          </w:tcPr>
          <w:p w:rsidR="00E90EC0" w:rsidRDefault="00E90EC0" w:rsidP="00E90EC0">
            <w:pPr>
              <w:jc w:val="center"/>
              <w:rPr>
                <w:sz w:val="23"/>
              </w:rPr>
            </w:pPr>
            <w:r>
              <w:rPr>
                <w:sz w:val="23"/>
              </w:rPr>
              <w:t>0,1 ml</w:t>
            </w:r>
          </w:p>
        </w:tc>
        <w:tc>
          <w:tcPr>
            <w:tcW w:w="1157" w:type="dxa"/>
            <w:vAlign w:val="center"/>
          </w:tcPr>
          <w:p w:rsidR="00E90EC0" w:rsidRDefault="00E90EC0" w:rsidP="00E90EC0">
            <w:pPr>
              <w:jc w:val="center"/>
              <w:rPr>
                <w:sz w:val="23"/>
              </w:rPr>
            </w:pPr>
            <w:r>
              <w:rPr>
                <w:sz w:val="23"/>
              </w:rPr>
              <w:t>-</w:t>
            </w:r>
          </w:p>
        </w:tc>
        <w:tc>
          <w:tcPr>
            <w:tcW w:w="1025" w:type="dxa"/>
            <w:vAlign w:val="center"/>
          </w:tcPr>
          <w:p w:rsidR="00E90EC0" w:rsidRDefault="00E90EC0" w:rsidP="00E90EC0">
            <w:pPr>
              <w:jc w:val="center"/>
              <w:rPr>
                <w:sz w:val="23"/>
              </w:rPr>
            </w:pPr>
            <w:r>
              <w:rPr>
                <w:sz w:val="23"/>
              </w:rPr>
              <w:t>0,1 ml</w:t>
            </w:r>
          </w:p>
        </w:tc>
      </w:tr>
      <w:tr w:rsidR="00E90EC0" w:rsidTr="003834C2">
        <w:tc>
          <w:tcPr>
            <w:tcW w:w="439" w:type="dxa"/>
            <w:vAlign w:val="center"/>
          </w:tcPr>
          <w:p w:rsidR="00E90EC0" w:rsidRDefault="00E90EC0" w:rsidP="00E90EC0">
            <w:pPr>
              <w:jc w:val="center"/>
              <w:rPr>
                <w:sz w:val="23"/>
              </w:rPr>
            </w:pPr>
            <w:r>
              <w:rPr>
                <w:sz w:val="23"/>
              </w:rPr>
              <w:t>6</w:t>
            </w:r>
          </w:p>
        </w:tc>
        <w:tc>
          <w:tcPr>
            <w:tcW w:w="1801" w:type="dxa"/>
            <w:vAlign w:val="center"/>
          </w:tcPr>
          <w:p w:rsidR="00E90EC0" w:rsidRPr="004C0383" w:rsidRDefault="00E90EC0" w:rsidP="00E90EC0">
            <w:pPr>
              <w:jc w:val="center"/>
              <w:rPr>
                <w:b/>
                <w:sz w:val="23"/>
              </w:rPr>
            </w:pPr>
            <w:r w:rsidRPr="004C0383">
              <w:rPr>
                <w:b/>
                <w:sz w:val="23"/>
              </w:rPr>
              <w:t>Właściwa z inhibitorem</w:t>
            </w:r>
          </w:p>
        </w:tc>
        <w:tc>
          <w:tcPr>
            <w:tcW w:w="1114" w:type="dxa"/>
            <w:vAlign w:val="center"/>
          </w:tcPr>
          <w:p w:rsidR="00E90EC0" w:rsidRDefault="00E90EC0" w:rsidP="00E90EC0">
            <w:pPr>
              <w:jc w:val="center"/>
              <w:rPr>
                <w:sz w:val="23"/>
              </w:rPr>
            </w:pPr>
            <w:r>
              <w:rPr>
                <w:sz w:val="23"/>
              </w:rPr>
              <w:t>0,2 ml</w:t>
            </w:r>
          </w:p>
        </w:tc>
        <w:tc>
          <w:tcPr>
            <w:tcW w:w="1443" w:type="dxa"/>
            <w:vAlign w:val="center"/>
          </w:tcPr>
          <w:p w:rsidR="00E90EC0" w:rsidRDefault="00E90EC0" w:rsidP="00E90EC0">
            <w:pPr>
              <w:jc w:val="center"/>
              <w:rPr>
                <w:sz w:val="23"/>
              </w:rPr>
            </w:pPr>
            <w:r>
              <w:rPr>
                <w:sz w:val="23"/>
              </w:rPr>
              <w:t>0,1 ml</w:t>
            </w:r>
          </w:p>
        </w:tc>
        <w:tc>
          <w:tcPr>
            <w:tcW w:w="2309" w:type="dxa"/>
            <w:vAlign w:val="center"/>
          </w:tcPr>
          <w:p w:rsidR="00E90EC0" w:rsidRDefault="00E90EC0" w:rsidP="00E90EC0">
            <w:pPr>
              <w:jc w:val="center"/>
              <w:rPr>
                <w:sz w:val="23"/>
              </w:rPr>
            </w:pPr>
            <w:r>
              <w:rPr>
                <w:sz w:val="23"/>
              </w:rPr>
              <w:t>0,1 ml</w:t>
            </w:r>
          </w:p>
        </w:tc>
        <w:tc>
          <w:tcPr>
            <w:tcW w:w="1157" w:type="dxa"/>
            <w:vAlign w:val="center"/>
          </w:tcPr>
          <w:p w:rsidR="00E90EC0" w:rsidRDefault="00E90EC0" w:rsidP="00E90EC0">
            <w:pPr>
              <w:jc w:val="center"/>
              <w:rPr>
                <w:sz w:val="23"/>
              </w:rPr>
            </w:pPr>
            <w:r>
              <w:rPr>
                <w:sz w:val="23"/>
              </w:rPr>
              <w:t>0,1 ml</w:t>
            </w:r>
          </w:p>
        </w:tc>
        <w:tc>
          <w:tcPr>
            <w:tcW w:w="1025" w:type="dxa"/>
            <w:vAlign w:val="center"/>
          </w:tcPr>
          <w:p w:rsidR="00E90EC0" w:rsidRDefault="00E90EC0" w:rsidP="00E90EC0">
            <w:pPr>
              <w:jc w:val="center"/>
              <w:rPr>
                <w:sz w:val="23"/>
              </w:rPr>
            </w:pPr>
            <w:r>
              <w:rPr>
                <w:sz w:val="23"/>
              </w:rPr>
              <w:t>-</w:t>
            </w:r>
          </w:p>
        </w:tc>
      </w:tr>
    </w:tbl>
    <w:p w:rsidR="004C0383" w:rsidRDefault="004C0383" w:rsidP="004C0383">
      <w:pPr>
        <w:rPr>
          <w:b/>
          <w:bCs/>
          <w:sz w:val="23"/>
        </w:rPr>
      </w:pPr>
    </w:p>
    <w:p w:rsidR="00E90EC0" w:rsidRPr="004C0383" w:rsidRDefault="004C0383" w:rsidP="004C0383">
      <w:pPr>
        <w:pStyle w:val="Akapitzlist"/>
        <w:numPr>
          <w:ilvl w:val="0"/>
          <w:numId w:val="5"/>
        </w:numPr>
        <w:ind w:left="426" w:hanging="426"/>
        <w:rPr>
          <w:b/>
          <w:bCs/>
          <w:sz w:val="23"/>
        </w:rPr>
      </w:pPr>
      <w:r>
        <w:rPr>
          <w:b/>
          <w:bCs/>
          <w:sz w:val="23"/>
        </w:rPr>
        <w:t>Analiza i interpretacja</w:t>
      </w:r>
      <w:r w:rsidR="00E90EC0" w:rsidRPr="004C0383">
        <w:rPr>
          <w:b/>
          <w:bCs/>
          <w:sz w:val="23"/>
        </w:rPr>
        <w:t xml:space="preserve"> wyników</w:t>
      </w:r>
    </w:p>
    <w:p w:rsidR="00E90EC0" w:rsidRDefault="00E90EC0" w:rsidP="00E90EC0">
      <w:pPr>
        <w:jc w:val="center"/>
        <w:rPr>
          <w:b/>
          <w:bCs/>
          <w:sz w:val="23"/>
        </w:rPr>
      </w:pPr>
    </w:p>
    <w:p w:rsidR="00DD6370" w:rsidRDefault="00DD6370" w:rsidP="00DD6370">
      <w:pPr>
        <w:pStyle w:val="Akapitzlist"/>
        <w:numPr>
          <w:ilvl w:val="0"/>
          <w:numId w:val="7"/>
        </w:numPr>
        <w:rPr>
          <w:bCs/>
          <w:sz w:val="23"/>
        </w:rPr>
      </w:pPr>
      <w:r w:rsidRPr="00DD6370">
        <w:rPr>
          <w:bCs/>
          <w:sz w:val="23"/>
        </w:rPr>
        <w:t xml:space="preserve">W zeszycie narysować </w:t>
      </w:r>
      <w:r>
        <w:rPr>
          <w:bCs/>
          <w:sz w:val="23"/>
        </w:rPr>
        <w:t>Tabelę II (wg poniższego wzoru).</w:t>
      </w:r>
    </w:p>
    <w:p w:rsidR="00DD6370" w:rsidRDefault="00DD6370" w:rsidP="00DD6370">
      <w:pPr>
        <w:pStyle w:val="Akapitzlist"/>
        <w:numPr>
          <w:ilvl w:val="0"/>
          <w:numId w:val="7"/>
        </w:numPr>
        <w:rPr>
          <w:bCs/>
          <w:sz w:val="23"/>
        </w:rPr>
      </w:pPr>
      <w:r>
        <w:rPr>
          <w:bCs/>
          <w:sz w:val="23"/>
        </w:rPr>
        <w:t>Do tabeli wpisać wyniki.</w:t>
      </w:r>
      <w:r w:rsidRPr="00DD6370">
        <w:rPr>
          <w:bCs/>
          <w:sz w:val="23"/>
        </w:rPr>
        <w:t xml:space="preserve"> Formułując spostrzeżenia używać symboli: (+) – zużycie, (-) – brak zużycia.</w:t>
      </w:r>
    </w:p>
    <w:p w:rsidR="00E90EC0" w:rsidRDefault="00E90EC0" w:rsidP="00DD6370">
      <w:pPr>
        <w:pStyle w:val="Akapitzlist"/>
        <w:numPr>
          <w:ilvl w:val="0"/>
          <w:numId w:val="7"/>
        </w:numPr>
        <w:rPr>
          <w:bCs/>
          <w:sz w:val="23"/>
        </w:rPr>
      </w:pPr>
      <w:r w:rsidRPr="00DD6370">
        <w:rPr>
          <w:bCs/>
          <w:sz w:val="23"/>
        </w:rPr>
        <w:t>Wyniki przedyskutować</w:t>
      </w:r>
      <w:r w:rsidR="00DD6370">
        <w:rPr>
          <w:bCs/>
          <w:sz w:val="23"/>
        </w:rPr>
        <w:t xml:space="preserve"> a wnioski wpisać do zeszytu.</w:t>
      </w:r>
      <w:r w:rsidRPr="00DD6370">
        <w:rPr>
          <w:bCs/>
          <w:sz w:val="23"/>
        </w:rPr>
        <w:t xml:space="preserve"> </w:t>
      </w:r>
    </w:p>
    <w:p w:rsidR="00E90EC0" w:rsidRDefault="00E90EC0" w:rsidP="00E90EC0">
      <w:pPr>
        <w:jc w:val="center"/>
        <w:rPr>
          <w:bCs/>
          <w:sz w:val="23"/>
        </w:rPr>
      </w:pPr>
    </w:p>
    <w:p w:rsidR="00E90EC0" w:rsidRPr="003834C2" w:rsidRDefault="00E90EC0" w:rsidP="003834C2">
      <w:pPr>
        <w:rPr>
          <w:b/>
          <w:sz w:val="23"/>
        </w:rPr>
      </w:pPr>
      <w:r w:rsidRPr="003834C2">
        <w:rPr>
          <w:b/>
          <w:bCs/>
          <w:sz w:val="23"/>
        </w:rPr>
        <w:t xml:space="preserve">Tabela </w:t>
      </w:r>
      <w:r w:rsidR="00C638E4">
        <w:rPr>
          <w:b/>
          <w:bCs/>
          <w:sz w:val="23"/>
        </w:rPr>
        <w:t>2</w:t>
      </w:r>
    </w:p>
    <w:p w:rsidR="00E90EC0" w:rsidRDefault="00E90EC0" w:rsidP="00E90EC0">
      <w:pPr>
        <w:jc w:val="center"/>
        <w:rPr>
          <w:sz w:val="23"/>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3"/>
        <w:gridCol w:w="1188"/>
        <w:gridCol w:w="1098"/>
        <w:gridCol w:w="1379"/>
        <w:gridCol w:w="1188"/>
        <w:gridCol w:w="1098"/>
        <w:gridCol w:w="1523"/>
      </w:tblGrid>
      <w:tr w:rsidR="00E90EC0" w:rsidTr="003834C2">
        <w:trPr>
          <w:trHeight w:val="639"/>
        </w:trPr>
        <w:tc>
          <w:tcPr>
            <w:tcW w:w="5938" w:type="dxa"/>
            <w:gridSpan w:val="4"/>
          </w:tcPr>
          <w:p w:rsidR="00E90EC0" w:rsidRDefault="00E90EC0" w:rsidP="00E90EC0">
            <w:pPr>
              <w:jc w:val="center"/>
              <w:rPr>
                <w:b/>
                <w:sz w:val="23"/>
              </w:rPr>
            </w:pPr>
          </w:p>
        </w:tc>
        <w:tc>
          <w:tcPr>
            <w:tcW w:w="3809" w:type="dxa"/>
            <w:gridSpan w:val="3"/>
            <w:vAlign w:val="center"/>
          </w:tcPr>
          <w:p w:rsidR="00E90EC0" w:rsidRDefault="00E90EC0" w:rsidP="003834C2">
            <w:pPr>
              <w:jc w:val="center"/>
              <w:rPr>
                <w:b/>
                <w:sz w:val="23"/>
              </w:rPr>
            </w:pPr>
            <w:r>
              <w:rPr>
                <w:b/>
                <w:sz w:val="23"/>
              </w:rPr>
              <w:t>Próby</w:t>
            </w:r>
            <w:r w:rsidR="003834C2">
              <w:rPr>
                <w:b/>
                <w:sz w:val="23"/>
              </w:rPr>
              <w:t xml:space="preserve"> </w:t>
            </w:r>
            <w:r>
              <w:rPr>
                <w:b/>
                <w:sz w:val="23"/>
              </w:rPr>
              <w:t>z heksacyjanożelazianem</w:t>
            </w:r>
          </w:p>
          <w:p w:rsidR="00E90EC0" w:rsidRDefault="00E90EC0" w:rsidP="003834C2">
            <w:pPr>
              <w:jc w:val="center"/>
              <w:rPr>
                <w:b/>
                <w:sz w:val="23"/>
              </w:rPr>
            </w:pPr>
            <w:r>
              <w:rPr>
                <w:b/>
                <w:sz w:val="23"/>
              </w:rPr>
              <w:t>potasu</w:t>
            </w:r>
          </w:p>
        </w:tc>
      </w:tr>
      <w:tr w:rsidR="00E90EC0" w:rsidTr="003834C2">
        <w:trPr>
          <w:trHeight w:val="845"/>
        </w:trPr>
        <w:tc>
          <w:tcPr>
            <w:tcW w:w="2273" w:type="dxa"/>
          </w:tcPr>
          <w:p w:rsidR="00E90EC0" w:rsidRDefault="00E90EC0" w:rsidP="00E90EC0">
            <w:pPr>
              <w:jc w:val="center"/>
              <w:rPr>
                <w:b/>
                <w:sz w:val="23"/>
              </w:rPr>
            </w:pPr>
          </w:p>
        </w:tc>
        <w:tc>
          <w:tcPr>
            <w:tcW w:w="1188" w:type="dxa"/>
            <w:vAlign w:val="center"/>
          </w:tcPr>
          <w:p w:rsidR="00E90EC0" w:rsidRDefault="00E90EC0" w:rsidP="00E90EC0">
            <w:pPr>
              <w:jc w:val="center"/>
              <w:rPr>
                <w:b/>
                <w:sz w:val="23"/>
              </w:rPr>
            </w:pPr>
            <w:r>
              <w:rPr>
                <w:b/>
                <w:sz w:val="23"/>
              </w:rPr>
              <w:t>Próba kontrolna</w:t>
            </w:r>
          </w:p>
        </w:tc>
        <w:tc>
          <w:tcPr>
            <w:tcW w:w="1098" w:type="dxa"/>
            <w:vAlign w:val="center"/>
          </w:tcPr>
          <w:p w:rsidR="00E90EC0" w:rsidRDefault="00E90EC0" w:rsidP="00E90EC0">
            <w:pPr>
              <w:jc w:val="center"/>
              <w:rPr>
                <w:b/>
                <w:sz w:val="23"/>
              </w:rPr>
            </w:pPr>
            <w:r>
              <w:rPr>
                <w:b/>
                <w:sz w:val="23"/>
              </w:rPr>
              <w:t>Próba właściwa</w:t>
            </w:r>
          </w:p>
        </w:tc>
        <w:tc>
          <w:tcPr>
            <w:tcW w:w="1379" w:type="dxa"/>
            <w:vAlign w:val="center"/>
          </w:tcPr>
          <w:p w:rsidR="00E90EC0" w:rsidRDefault="00E90EC0" w:rsidP="00E90EC0">
            <w:pPr>
              <w:jc w:val="center"/>
              <w:rPr>
                <w:b/>
                <w:sz w:val="23"/>
              </w:rPr>
            </w:pPr>
            <w:r>
              <w:rPr>
                <w:b/>
                <w:sz w:val="23"/>
              </w:rPr>
              <w:t>Próba właściwa z inhibitorem</w:t>
            </w:r>
          </w:p>
        </w:tc>
        <w:tc>
          <w:tcPr>
            <w:tcW w:w="1188" w:type="dxa"/>
            <w:vAlign w:val="center"/>
          </w:tcPr>
          <w:p w:rsidR="00E90EC0" w:rsidRDefault="00E90EC0" w:rsidP="00E90EC0">
            <w:pPr>
              <w:jc w:val="center"/>
              <w:rPr>
                <w:b/>
                <w:sz w:val="23"/>
              </w:rPr>
            </w:pPr>
            <w:r>
              <w:rPr>
                <w:b/>
                <w:sz w:val="23"/>
              </w:rPr>
              <w:t>Próba kontrolna</w:t>
            </w:r>
          </w:p>
        </w:tc>
        <w:tc>
          <w:tcPr>
            <w:tcW w:w="1098" w:type="dxa"/>
            <w:vAlign w:val="center"/>
          </w:tcPr>
          <w:p w:rsidR="00E90EC0" w:rsidRDefault="00E90EC0" w:rsidP="00E90EC0">
            <w:pPr>
              <w:jc w:val="center"/>
              <w:rPr>
                <w:b/>
                <w:sz w:val="23"/>
              </w:rPr>
            </w:pPr>
            <w:r>
              <w:rPr>
                <w:b/>
                <w:sz w:val="23"/>
              </w:rPr>
              <w:t>Próba właściwa</w:t>
            </w:r>
          </w:p>
        </w:tc>
        <w:tc>
          <w:tcPr>
            <w:tcW w:w="1523" w:type="dxa"/>
            <w:vAlign w:val="center"/>
          </w:tcPr>
          <w:p w:rsidR="00E90EC0" w:rsidRDefault="00E90EC0" w:rsidP="00E90EC0">
            <w:pPr>
              <w:jc w:val="center"/>
              <w:rPr>
                <w:b/>
                <w:sz w:val="23"/>
              </w:rPr>
            </w:pPr>
            <w:r>
              <w:rPr>
                <w:b/>
                <w:sz w:val="23"/>
              </w:rPr>
              <w:t>Próba właściwa z inhibitorem</w:t>
            </w:r>
          </w:p>
        </w:tc>
      </w:tr>
      <w:tr w:rsidR="00E90EC0" w:rsidTr="003834C2">
        <w:trPr>
          <w:trHeight w:val="305"/>
        </w:trPr>
        <w:tc>
          <w:tcPr>
            <w:tcW w:w="2273" w:type="dxa"/>
          </w:tcPr>
          <w:p w:rsidR="00E90EC0" w:rsidRDefault="00E90EC0" w:rsidP="00E90EC0">
            <w:pPr>
              <w:jc w:val="center"/>
              <w:rPr>
                <w:b/>
                <w:sz w:val="23"/>
              </w:rPr>
            </w:pPr>
            <w:r>
              <w:rPr>
                <w:b/>
                <w:sz w:val="23"/>
              </w:rPr>
              <w:t>Nr próby</w:t>
            </w:r>
          </w:p>
        </w:tc>
        <w:tc>
          <w:tcPr>
            <w:tcW w:w="1188" w:type="dxa"/>
            <w:vAlign w:val="center"/>
          </w:tcPr>
          <w:p w:rsidR="00E90EC0" w:rsidRDefault="00E90EC0" w:rsidP="00E90EC0">
            <w:pPr>
              <w:jc w:val="center"/>
              <w:rPr>
                <w:b/>
                <w:sz w:val="23"/>
              </w:rPr>
            </w:pPr>
            <w:r>
              <w:rPr>
                <w:b/>
                <w:sz w:val="23"/>
              </w:rPr>
              <w:t>1</w:t>
            </w:r>
          </w:p>
        </w:tc>
        <w:tc>
          <w:tcPr>
            <w:tcW w:w="1098" w:type="dxa"/>
            <w:vAlign w:val="center"/>
          </w:tcPr>
          <w:p w:rsidR="00E90EC0" w:rsidRDefault="00E90EC0" w:rsidP="00E90EC0">
            <w:pPr>
              <w:jc w:val="center"/>
              <w:rPr>
                <w:b/>
                <w:sz w:val="23"/>
              </w:rPr>
            </w:pPr>
            <w:r>
              <w:rPr>
                <w:b/>
                <w:sz w:val="23"/>
              </w:rPr>
              <w:t>2</w:t>
            </w:r>
          </w:p>
        </w:tc>
        <w:tc>
          <w:tcPr>
            <w:tcW w:w="1379" w:type="dxa"/>
            <w:vAlign w:val="center"/>
          </w:tcPr>
          <w:p w:rsidR="00E90EC0" w:rsidRDefault="00E90EC0" w:rsidP="00E90EC0">
            <w:pPr>
              <w:jc w:val="center"/>
              <w:rPr>
                <w:b/>
                <w:sz w:val="23"/>
              </w:rPr>
            </w:pPr>
            <w:r>
              <w:rPr>
                <w:b/>
                <w:sz w:val="23"/>
              </w:rPr>
              <w:t>3</w:t>
            </w:r>
          </w:p>
        </w:tc>
        <w:tc>
          <w:tcPr>
            <w:tcW w:w="1188" w:type="dxa"/>
            <w:vAlign w:val="center"/>
          </w:tcPr>
          <w:p w:rsidR="00E90EC0" w:rsidRDefault="00E90EC0" w:rsidP="00E90EC0">
            <w:pPr>
              <w:jc w:val="center"/>
              <w:rPr>
                <w:b/>
                <w:sz w:val="23"/>
              </w:rPr>
            </w:pPr>
            <w:r>
              <w:rPr>
                <w:b/>
                <w:sz w:val="23"/>
              </w:rPr>
              <w:t>4</w:t>
            </w:r>
          </w:p>
        </w:tc>
        <w:tc>
          <w:tcPr>
            <w:tcW w:w="1098" w:type="dxa"/>
            <w:vAlign w:val="center"/>
          </w:tcPr>
          <w:p w:rsidR="00E90EC0" w:rsidRDefault="00E90EC0" w:rsidP="00E90EC0">
            <w:pPr>
              <w:jc w:val="center"/>
              <w:rPr>
                <w:b/>
                <w:sz w:val="23"/>
              </w:rPr>
            </w:pPr>
            <w:r>
              <w:rPr>
                <w:b/>
                <w:sz w:val="23"/>
              </w:rPr>
              <w:t>5</w:t>
            </w:r>
          </w:p>
        </w:tc>
        <w:tc>
          <w:tcPr>
            <w:tcW w:w="1523" w:type="dxa"/>
            <w:vAlign w:val="center"/>
          </w:tcPr>
          <w:p w:rsidR="00E90EC0" w:rsidRDefault="00E90EC0" w:rsidP="00E90EC0">
            <w:pPr>
              <w:jc w:val="center"/>
              <w:rPr>
                <w:b/>
                <w:sz w:val="23"/>
              </w:rPr>
            </w:pPr>
            <w:r>
              <w:rPr>
                <w:b/>
                <w:sz w:val="23"/>
              </w:rPr>
              <w:t>6</w:t>
            </w:r>
          </w:p>
        </w:tc>
      </w:tr>
      <w:tr w:rsidR="00E90EC0" w:rsidTr="003834C2">
        <w:trPr>
          <w:trHeight w:val="305"/>
        </w:trPr>
        <w:tc>
          <w:tcPr>
            <w:tcW w:w="2273" w:type="dxa"/>
          </w:tcPr>
          <w:p w:rsidR="00E90EC0" w:rsidRDefault="00E90EC0" w:rsidP="00E90EC0">
            <w:pPr>
              <w:jc w:val="center"/>
              <w:rPr>
                <w:b/>
                <w:sz w:val="23"/>
              </w:rPr>
            </w:pPr>
            <w:r>
              <w:rPr>
                <w:b/>
                <w:sz w:val="23"/>
              </w:rPr>
              <w:t>Pirogronian</w:t>
            </w:r>
          </w:p>
        </w:tc>
        <w:tc>
          <w:tcPr>
            <w:tcW w:w="1188" w:type="dxa"/>
            <w:tcBorders>
              <w:bottom w:val="single" w:sz="4" w:space="0" w:color="auto"/>
            </w:tcBorders>
          </w:tcPr>
          <w:p w:rsidR="00E90EC0" w:rsidRDefault="00E90EC0" w:rsidP="00E90EC0">
            <w:pPr>
              <w:jc w:val="center"/>
              <w:rPr>
                <w:sz w:val="23"/>
              </w:rPr>
            </w:pPr>
          </w:p>
        </w:tc>
        <w:tc>
          <w:tcPr>
            <w:tcW w:w="1098" w:type="dxa"/>
            <w:tcBorders>
              <w:bottom w:val="single" w:sz="4" w:space="0" w:color="auto"/>
            </w:tcBorders>
          </w:tcPr>
          <w:p w:rsidR="00E90EC0" w:rsidRDefault="00E90EC0" w:rsidP="00E90EC0">
            <w:pPr>
              <w:jc w:val="center"/>
              <w:rPr>
                <w:sz w:val="23"/>
              </w:rPr>
            </w:pPr>
          </w:p>
        </w:tc>
        <w:tc>
          <w:tcPr>
            <w:tcW w:w="1379" w:type="dxa"/>
            <w:tcBorders>
              <w:bottom w:val="single" w:sz="4" w:space="0" w:color="auto"/>
            </w:tcBorders>
          </w:tcPr>
          <w:p w:rsidR="00E90EC0" w:rsidRDefault="00E90EC0" w:rsidP="00E90EC0">
            <w:pPr>
              <w:jc w:val="center"/>
              <w:rPr>
                <w:sz w:val="23"/>
              </w:rPr>
            </w:pPr>
          </w:p>
        </w:tc>
        <w:tc>
          <w:tcPr>
            <w:tcW w:w="1188" w:type="dxa"/>
          </w:tcPr>
          <w:p w:rsidR="00E90EC0" w:rsidRDefault="00E90EC0" w:rsidP="00E90EC0">
            <w:pPr>
              <w:jc w:val="center"/>
              <w:rPr>
                <w:sz w:val="23"/>
              </w:rPr>
            </w:pPr>
          </w:p>
        </w:tc>
        <w:tc>
          <w:tcPr>
            <w:tcW w:w="1098" w:type="dxa"/>
          </w:tcPr>
          <w:p w:rsidR="00E90EC0" w:rsidRDefault="00E90EC0" w:rsidP="00E90EC0">
            <w:pPr>
              <w:jc w:val="center"/>
              <w:rPr>
                <w:sz w:val="23"/>
              </w:rPr>
            </w:pPr>
          </w:p>
        </w:tc>
        <w:tc>
          <w:tcPr>
            <w:tcW w:w="1523" w:type="dxa"/>
          </w:tcPr>
          <w:p w:rsidR="00E90EC0" w:rsidRDefault="00E90EC0" w:rsidP="00E90EC0">
            <w:pPr>
              <w:jc w:val="center"/>
              <w:rPr>
                <w:sz w:val="23"/>
              </w:rPr>
            </w:pPr>
          </w:p>
        </w:tc>
      </w:tr>
      <w:tr w:rsidR="00E90EC0" w:rsidTr="003834C2">
        <w:trPr>
          <w:trHeight w:val="322"/>
        </w:trPr>
        <w:tc>
          <w:tcPr>
            <w:tcW w:w="2273" w:type="dxa"/>
          </w:tcPr>
          <w:p w:rsidR="00E90EC0" w:rsidRDefault="00E90EC0" w:rsidP="00E90EC0">
            <w:pPr>
              <w:jc w:val="center"/>
              <w:rPr>
                <w:b/>
                <w:sz w:val="23"/>
              </w:rPr>
            </w:pPr>
            <w:r>
              <w:rPr>
                <w:b/>
                <w:sz w:val="23"/>
              </w:rPr>
              <w:t>Heksacyjanożelazian</w:t>
            </w:r>
          </w:p>
        </w:tc>
        <w:tc>
          <w:tcPr>
            <w:tcW w:w="1188" w:type="dxa"/>
            <w:shd w:val="clear" w:color="auto" w:fill="E0E0E0"/>
          </w:tcPr>
          <w:p w:rsidR="00E90EC0" w:rsidRDefault="00E90EC0" w:rsidP="00E90EC0">
            <w:pPr>
              <w:jc w:val="center"/>
              <w:rPr>
                <w:sz w:val="23"/>
              </w:rPr>
            </w:pPr>
          </w:p>
        </w:tc>
        <w:tc>
          <w:tcPr>
            <w:tcW w:w="1098" w:type="dxa"/>
            <w:shd w:val="clear" w:color="auto" w:fill="E0E0E0"/>
          </w:tcPr>
          <w:p w:rsidR="00E90EC0" w:rsidRDefault="00E90EC0" w:rsidP="00E90EC0">
            <w:pPr>
              <w:jc w:val="center"/>
              <w:rPr>
                <w:sz w:val="23"/>
              </w:rPr>
            </w:pPr>
          </w:p>
        </w:tc>
        <w:tc>
          <w:tcPr>
            <w:tcW w:w="1379" w:type="dxa"/>
            <w:shd w:val="clear" w:color="auto" w:fill="E0E0E0"/>
          </w:tcPr>
          <w:p w:rsidR="00E90EC0" w:rsidRDefault="00E90EC0" w:rsidP="00E90EC0">
            <w:pPr>
              <w:jc w:val="center"/>
              <w:rPr>
                <w:sz w:val="23"/>
              </w:rPr>
            </w:pPr>
          </w:p>
        </w:tc>
        <w:tc>
          <w:tcPr>
            <w:tcW w:w="1188" w:type="dxa"/>
          </w:tcPr>
          <w:p w:rsidR="00E90EC0" w:rsidRDefault="00E90EC0" w:rsidP="00E90EC0">
            <w:pPr>
              <w:jc w:val="center"/>
              <w:rPr>
                <w:sz w:val="23"/>
              </w:rPr>
            </w:pPr>
          </w:p>
        </w:tc>
        <w:tc>
          <w:tcPr>
            <w:tcW w:w="1098" w:type="dxa"/>
          </w:tcPr>
          <w:p w:rsidR="00E90EC0" w:rsidRDefault="00E90EC0" w:rsidP="00E90EC0">
            <w:pPr>
              <w:jc w:val="center"/>
              <w:rPr>
                <w:sz w:val="23"/>
              </w:rPr>
            </w:pPr>
          </w:p>
        </w:tc>
        <w:tc>
          <w:tcPr>
            <w:tcW w:w="1523" w:type="dxa"/>
          </w:tcPr>
          <w:p w:rsidR="00E90EC0" w:rsidRDefault="00E90EC0" w:rsidP="00E90EC0">
            <w:pPr>
              <w:jc w:val="center"/>
              <w:rPr>
                <w:sz w:val="23"/>
              </w:rPr>
            </w:pPr>
          </w:p>
        </w:tc>
      </w:tr>
    </w:tbl>
    <w:p w:rsidR="003834C2" w:rsidRDefault="003834C2" w:rsidP="00DD6370">
      <w:pPr>
        <w:rPr>
          <w:b/>
          <w:i/>
        </w:rPr>
      </w:pPr>
    </w:p>
    <w:p w:rsidR="00D32A83" w:rsidRDefault="00DD6370" w:rsidP="00DD6370">
      <w:pPr>
        <w:rPr>
          <w:b/>
          <w:i/>
        </w:rPr>
      </w:pPr>
      <w:r w:rsidRPr="00DD6370">
        <w:rPr>
          <w:b/>
          <w:i/>
        </w:rPr>
        <w:t>Piśmiennictwo</w:t>
      </w:r>
      <w:r>
        <w:rPr>
          <w:b/>
          <w:i/>
        </w:rPr>
        <w:t>:</w:t>
      </w:r>
    </w:p>
    <w:p w:rsidR="00DD6370" w:rsidRDefault="00DD6370" w:rsidP="00DD6370">
      <w:pPr>
        <w:rPr>
          <w:b/>
          <w:i/>
        </w:rPr>
      </w:pPr>
    </w:p>
    <w:p w:rsidR="00DD6370" w:rsidRPr="00F44446" w:rsidRDefault="00DD6370" w:rsidP="00DD6370">
      <w:pPr>
        <w:pStyle w:val="Tekstpodstawowy"/>
        <w:numPr>
          <w:ilvl w:val="0"/>
          <w:numId w:val="8"/>
        </w:numPr>
        <w:tabs>
          <w:tab w:val="left" w:pos="284"/>
        </w:tabs>
        <w:rPr>
          <w:bCs/>
          <w:sz w:val="23"/>
        </w:rPr>
      </w:pPr>
      <w:r w:rsidRPr="00643494">
        <w:rPr>
          <w:sz w:val="20"/>
          <w:szCs w:val="20"/>
        </w:rPr>
        <w:t>Bańkowski E.: Biochemia, Elsevier Urban &amp; Partner, Wrocław</w:t>
      </w:r>
      <w:r>
        <w:rPr>
          <w:sz w:val="20"/>
          <w:szCs w:val="20"/>
        </w:rPr>
        <w:t xml:space="preserve"> 2004, rozdz. 4.</w:t>
      </w:r>
    </w:p>
    <w:p w:rsidR="00DD6370" w:rsidRPr="00F44446" w:rsidRDefault="00DD6370" w:rsidP="00DD6370">
      <w:pPr>
        <w:pStyle w:val="Tekstpodstawowy"/>
        <w:numPr>
          <w:ilvl w:val="0"/>
          <w:numId w:val="8"/>
        </w:numPr>
        <w:tabs>
          <w:tab w:val="left" w:pos="284"/>
        </w:tabs>
        <w:rPr>
          <w:bCs/>
          <w:sz w:val="20"/>
          <w:szCs w:val="20"/>
        </w:rPr>
      </w:pPr>
      <w:r w:rsidRPr="00F44446">
        <w:rPr>
          <w:sz w:val="20"/>
          <w:szCs w:val="20"/>
        </w:rPr>
        <w:t xml:space="preserve">Cechowska-Pasko M, Galewska Z, Gogiel T, Pawlicka E, Romanowicz L, Sobolewski K, Wolańska M: </w:t>
      </w:r>
      <w:r w:rsidRPr="00F44446">
        <w:rPr>
          <w:bCs/>
          <w:iCs/>
          <w:sz w:val="20"/>
          <w:szCs w:val="20"/>
        </w:rPr>
        <w:t>Ćwiczenia z biochemii dla studentów Wydziału Lekarskiego i Oddziałów: Stomatologii, Pielęgniarstwa i Fizjoterapii Akademii Medycznej w Białymstoku.</w:t>
      </w:r>
      <w:r w:rsidRPr="00F44446">
        <w:rPr>
          <w:sz w:val="20"/>
          <w:szCs w:val="20"/>
        </w:rPr>
        <w:t xml:space="preserve"> Pod redakcją prof. dr hab. Edwarda Bańkowskiego. Białystok, 2001.</w:t>
      </w:r>
    </w:p>
    <w:sectPr w:rsidR="00DD6370" w:rsidRPr="00F44446" w:rsidSect="003834C2">
      <w:pgSz w:w="11906" w:h="16838"/>
      <w:pgMar w:top="993" w:right="141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B50117"/>
    <w:multiLevelType w:val="hybridMultilevel"/>
    <w:tmpl w:val="45843CE6"/>
    <w:lvl w:ilvl="0" w:tplc="0415000F">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6C559CD"/>
    <w:multiLevelType w:val="hybridMultilevel"/>
    <w:tmpl w:val="8C703E24"/>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4DA1C2C"/>
    <w:multiLevelType w:val="singleLevel"/>
    <w:tmpl w:val="B7A82BA4"/>
    <w:lvl w:ilvl="0">
      <w:start w:val="1"/>
      <w:numFmt w:val="decimal"/>
      <w:lvlText w:val="%1."/>
      <w:lvlJc w:val="left"/>
      <w:pPr>
        <w:tabs>
          <w:tab w:val="num" w:pos="360"/>
        </w:tabs>
        <w:ind w:left="360" w:hanging="360"/>
      </w:pPr>
      <w:rPr>
        <w:rFonts w:hint="default"/>
      </w:rPr>
    </w:lvl>
  </w:abstractNum>
  <w:abstractNum w:abstractNumId="3">
    <w:nsid w:val="50797955"/>
    <w:multiLevelType w:val="hybridMultilevel"/>
    <w:tmpl w:val="B1E2CD1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EE77BF3"/>
    <w:multiLevelType w:val="hybridMultilevel"/>
    <w:tmpl w:val="58285C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6337420"/>
    <w:multiLevelType w:val="hybridMultilevel"/>
    <w:tmpl w:val="6EBCBA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C302C27"/>
    <w:multiLevelType w:val="hybridMultilevel"/>
    <w:tmpl w:val="62523E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1F05397"/>
    <w:multiLevelType w:val="hybridMultilevel"/>
    <w:tmpl w:val="4DBA64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5"/>
  </w:num>
  <w:num w:numId="3">
    <w:abstractNumId w:val="7"/>
  </w:num>
  <w:num w:numId="4">
    <w:abstractNumId w:val="3"/>
  </w:num>
  <w:num w:numId="5">
    <w:abstractNumId w:val="1"/>
  </w:num>
  <w:num w:numId="6">
    <w:abstractNumId w:val="6"/>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E90EC0"/>
    <w:rsid w:val="000A341C"/>
    <w:rsid w:val="00246455"/>
    <w:rsid w:val="003834C2"/>
    <w:rsid w:val="004C0383"/>
    <w:rsid w:val="006E26F7"/>
    <w:rsid w:val="007C4228"/>
    <w:rsid w:val="00C638E4"/>
    <w:rsid w:val="00D32A83"/>
    <w:rsid w:val="00DD6370"/>
    <w:rsid w:val="00E90EC0"/>
    <w:rsid w:val="00FA09F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0EC0"/>
    <w:rPr>
      <w:rFonts w:ascii="Times New Roman" w:eastAsia="Times New Roman" w:hAnsi="Times New Roman"/>
      <w:sz w:val="24"/>
      <w:szCs w:val="24"/>
    </w:rPr>
  </w:style>
  <w:style w:type="paragraph" w:styleId="Nagwek1">
    <w:name w:val="heading 1"/>
    <w:basedOn w:val="Normalny"/>
    <w:next w:val="Normalny"/>
    <w:link w:val="Nagwek1Znak"/>
    <w:qFormat/>
    <w:rsid w:val="00E90EC0"/>
    <w:pPr>
      <w:keepNext/>
      <w:jc w:val="center"/>
      <w:outlineLvl w:val="0"/>
    </w:pPr>
    <w:rPr>
      <w:sz w:val="7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E90EC0"/>
    <w:rPr>
      <w:rFonts w:ascii="Times New Roman" w:eastAsia="Times New Roman" w:hAnsi="Times New Roman" w:cs="Times New Roman"/>
      <w:sz w:val="72"/>
      <w:szCs w:val="24"/>
      <w:lang w:eastAsia="pl-PL"/>
    </w:rPr>
  </w:style>
  <w:style w:type="paragraph" w:styleId="Tekstpodstawowy">
    <w:name w:val="Body Text"/>
    <w:basedOn w:val="Normalny"/>
    <w:link w:val="TekstpodstawowyZnak"/>
    <w:semiHidden/>
    <w:rsid w:val="00E90EC0"/>
    <w:rPr>
      <w:sz w:val="28"/>
    </w:rPr>
  </w:style>
  <w:style w:type="character" w:customStyle="1" w:styleId="TekstpodstawowyZnak">
    <w:name w:val="Tekst podstawowy Znak"/>
    <w:link w:val="Tekstpodstawowy"/>
    <w:semiHidden/>
    <w:rsid w:val="00E90EC0"/>
    <w:rPr>
      <w:rFonts w:ascii="Times New Roman" w:eastAsia="Times New Roman" w:hAnsi="Times New Roman" w:cs="Times New Roman"/>
      <w:sz w:val="28"/>
      <w:szCs w:val="24"/>
      <w:lang w:eastAsia="pl-PL"/>
    </w:rPr>
  </w:style>
  <w:style w:type="paragraph" w:styleId="Tekstpodstawowy2">
    <w:name w:val="Body Text 2"/>
    <w:basedOn w:val="Normalny"/>
    <w:link w:val="Tekstpodstawowy2Znak"/>
    <w:semiHidden/>
    <w:rsid w:val="00E90EC0"/>
    <w:pPr>
      <w:autoSpaceDE w:val="0"/>
      <w:autoSpaceDN w:val="0"/>
    </w:pPr>
    <w:rPr>
      <w:b/>
      <w:bCs/>
    </w:rPr>
  </w:style>
  <w:style w:type="character" w:customStyle="1" w:styleId="Tekstpodstawowy2Znak">
    <w:name w:val="Tekst podstawowy 2 Znak"/>
    <w:link w:val="Tekstpodstawowy2"/>
    <w:semiHidden/>
    <w:rsid w:val="00E90EC0"/>
    <w:rPr>
      <w:rFonts w:ascii="Times New Roman" w:eastAsia="Times New Roman" w:hAnsi="Times New Roman" w:cs="Times New Roman"/>
      <w:b/>
      <w:bCs/>
      <w:sz w:val="24"/>
      <w:szCs w:val="24"/>
      <w:lang w:eastAsia="pl-PL"/>
    </w:rPr>
  </w:style>
  <w:style w:type="paragraph" w:styleId="Tekstdymka">
    <w:name w:val="Balloon Text"/>
    <w:basedOn w:val="Normalny"/>
    <w:link w:val="TekstdymkaZnak"/>
    <w:uiPriority w:val="99"/>
    <w:semiHidden/>
    <w:unhideWhenUsed/>
    <w:rsid w:val="00E90EC0"/>
    <w:rPr>
      <w:rFonts w:ascii="Tahoma" w:hAnsi="Tahoma" w:cs="Tahoma"/>
      <w:sz w:val="16"/>
      <w:szCs w:val="16"/>
    </w:rPr>
  </w:style>
  <w:style w:type="character" w:customStyle="1" w:styleId="TekstdymkaZnak">
    <w:name w:val="Tekst dymka Znak"/>
    <w:link w:val="Tekstdymka"/>
    <w:uiPriority w:val="99"/>
    <w:semiHidden/>
    <w:rsid w:val="00E90EC0"/>
    <w:rPr>
      <w:rFonts w:ascii="Tahoma" w:eastAsia="Times New Roman" w:hAnsi="Tahoma" w:cs="Tahoma"/>
      <w:sz w:val="16"/>
      <w:szCs w:val="16"/>
      <w:lang w:eastAsia="pl-PL"/>
    </w:rPr>
  </w:style>
  <w:style w:type="paragraph" w:styleId="Akapitzlist">
    <w:name w:val="List Paragraph"/>
    <w:basedOn w:val="Normalny"/>
    <w:uiPriority w:val="34"/>
    <w:qFormat/>
    <w:rsid w:val="00FA09FF"/>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1107</Words>
  <Characters>6644</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UMB</Company>
  <LinksUpToDate>false</LinksUpToDate>
  <CharactersWithSpaces>7736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UMB</dc:creator>
  <cp:keywords/>
  <cp:lastModifiedBy>umwb</cp:lastModifiedBy>
  <cp:revision>2</cp:revision>
  <dcterms:created xsi:type="dcterms:W3CDTF">2017-03-22T08:51:00Z</dcterms:created>
  <dcterms:modified xsi:type="dcterms:W3CDTF">2017-03-22T08:51:00Z</dcterms:modified>
</cp:coreProperties>
</file>