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A06" w:rsidRPr="00D02A06" w:rsidRDefault="00D02A06" w:rsidP="00D02A06">
      <w:pPr>
        <w:spacing w:line="36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D02A06" w:rsidRPr="00D02A06" w:rsidRDefault="00D02A06" w:rsidP="00D02A06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D02A06">
        <w:rPr>
          <w:rFonts w:ascii="Calibri" w:eastAsia="Calibri" w:hAnsi="Calibri" w:cs="Times New Roman"/>
          <w:b/>
          <w:sz w:val="24"/>
          <w:szCs w:val="24"/>
        </w:rPr>
        <w:t>ROK III</w:t>
      </w:r>
    </w:p>
    <w:p w:rsidR="00D02A06" w:rsidRPr="00D02A06" w:rsidRDefault="00D02A06" w:rsidP="00D02A06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D02A06">
        <w:rPr>
          <w:rFonts w:ascii="Calibri" w:eastAsia="Calibri" w:hAnsi="Calibri" w:cs="Times New Roman"/>
          <w:b/>
          <w:sz w:val="24"/>
          <w:szCs w:val="24"/>
        </w:rPr>
        <w:t>Ćwiczenie 2</w:t>
      </w: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Majewski S., „Rekonstrukcja zębów uzupełnieniami stałymi”, Wyd. </w:t>
      </w:r>
      <w:r w:rsidRPr="00D02A06">
        <w:rPr>
          <w:rFonts w:ascii="Calibri" w:eastAsia="Calibri" w:hAnsi="Calibri" w:cs="Times New Roman"/>
          <w:sz w:val="24"/>
          <w:szCs w:val="24"/>
          <w:lang w:val="en-US"/>
        </w:rPr>
        <w:t>II, 2005 r.,</w:t>
      </w: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Shillingburg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 H., Hobo S.,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Whitsett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 L., „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Protezy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stałe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. </w:t>
      </w:r>
      <w:r w:rsidRPr="00D02A06">
        <w:rPr>
          <w:rFonts w:ascii="Calibri" w:eastAsia="Calibri" w:hAnsi="Calibri" w:cs="Times New Roman"/>
          <w:sz w:val="24"/>
          <w:szCs w:val="24"/>
        </w:rPr>
        <w:t>Zarys postępowania klinicznego i laboratoryjnego”, Wyd. I, 1997 r.</w:t>
      </w: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D02A06">
        <w:rPr>
          <w:rFonts w:ascii="Calibri" w:eastAsia="Calibri" w:hAnsi="Calibri" w:cs="Times New Roman"/>
          <w:sz w:val="24"/>
          <w:szCs w:val="24"/>
        </w:rPr>
        <w:t>Rosenstiel</w:t>
      </w:r>
      <w:proofErr w:type="spellEnd"/>
      <w:r w:rsidRPr="00D02A06">
        <w:rPr>
          <w:rFonts w:ascii="Calibri" w:eastAsia="Calibri" w:hAnsi="Calibri" w:cs="Times New Roman"/>
          <w:sz w:val="24"/>
          <w:szCs w:val="24"/>
        </w:rPr>
        <w:t xml:space="preserve"> S., Land M.,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</w:rPr>
        <w:t>Fujimoto</w:t>
      </w:r>
      <w:proofErr w:type="spellEnd"/>
      <w:r w:rsidRPr="00D02A06">
        <w:rPr>
          <w:rFonts w:ascii="Calibri" w:eastAsia="Calibri" w:hAnsi="Calibri" w:cs="Times New Roman"/>
          <w:sz w:val="24"/>
          <w:szCs w:val="24"/>
        </w:rPr>
        <w:t xml:space="preserve"> J., „Współczesne protezy stałe”, Wyd. I polskie, 2002 r.</w:t>
      </w: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>Red. Dejak B., „Vademecum wykonywania protez stałych i ruchomych”, Wyd. II.</w:t>
      </w: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D02A06" w:rsidRPr="00D02A06" w:rsidRDefault="00D02A06" w:rsidP="00D02A06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>Ogólne zasady szlifowania zębów pod stałe uzupełnienia protetyczne.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Jaki jest cel szlifowania zębów? 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Pisemna zgoda na zabieg. Znieczulenie. 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Etapy szlifowania zębów.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Główne zasady opracowywania zębów pod protezy stałe.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Na czym polega opracowanie zęba oszczędzające tkanki zębowe?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Retencja i stabilność protez stałych – definicje.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Czynniki wpływające na retencję uzupełnień stałych.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Od czego zależy stabilność uzupełnień stałych.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Opracowanie zębów pod kątem uzyskania wytrzymałości protez stałych.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Rodzaje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stopni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: chamfer, shoulder, bevel, shoulder with a bevel, knife edge .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Wskazania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zalety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 xml:space="preserve">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  <w:lang w:val="en-US"/>
        </w:rPr>
        <w:t>wady</w:t>
      </w:r>
      <w:proofErr w:type="spellEnd"/>
      <w:r w:rsidRPr="00D02A06">
        <w:rPr>
          <w:rFonts w:ascii="Calibri" w:eastAsia="Calibri" w:hAnsi="Calibri" w:cs="Times New Roman"/>
          <w:sz w:val="24"/>
          <w:szCs w:val="24"/>
          <w:lang w:val="en-US"/>
        </w:rPr>
        <w:t>.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Graniczna linia preparacji – umiejscowienie obrzeży: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</w:rPr>
        <w:t>naddziąsłowe</w:t>
      </w:r>
      <w:proofErr w:type="spellEnd"/>
      <w:r w:rsidRPr="00D02A06">
        <w:rPr>
          <w:rFonts w:ascii="Calibri" w:eastAsia="Calibri" w:hAnsi="Calibri" w:cs="Times New Roman"/>
          <w:sz w:val="24"/>
          <w:szCs w:val="24"/>
        </w:rPr>
        <w:t xml:space="preserve">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</w:rPr>
        <w:t>dodziąsłowe</w:t>
      </w:r>
      <w:proofErr w:type="spellEnd"/>
      <w:r w:rsidRPr="00D02A06">
        <w:rPr>
          <w:rFonts w:ascii="Calibri" w:eastAsia="Calibri" w:hAnsi="Calibri" w:cs="Times New Roman"/>
          <w:sz w:val="24"/>
          <w:szCs w:val="24"/>
        </w:rPr>
        <w:t xml:space="preserve">, </w:t>
      </w:r>
      <w:proofErr w:type="spellStart"/>
      <w:r w:rsidRPr="00D02A06">
        <w:rPr>
          <w:rFonts w:ascii="Calibri" w:eastAsia="Calibri" w:hAnsi="Calibri" w:cs="Times New Roman"/>
          <w:sz w:val="24"/>
          <w:szCs w:val="24"/>
        </w:rPr>
        <w:t>poddziąsłowe</w:t>
      </w:r>
      <w:proofErr w:type="spellEnd"/>
      <w:r w:rsidRPr="00D02A06">
        <w:rPr>
          <w:rFonts w:ascii="Calibri" w:eastAsia="Calibri" w:hAnsi="Calibri" w:cs="Times New Roman"/>
          <w:sz w:val="24"/>
          <w:szCs w:val="24"/>
        </w:rPr>
        <w:t xml:space="preserve">. Zalety, wady, wskazania.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>Ocena poprawności szlifowania zębów.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Narzędzia i instrumentarium stosowane do szlifowania zębów.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Powikłania zabiegu szlifowania i zapobieganie. </w:t>
      </w:r>
    </w:p>
    <w:p w:rsidR="00D02A06" w:rsidRPr="00D02A06" w:rsidRDefault="00D02A06" w:rsidP="00D02A06">
      <w:pPr>
        <w:numPr>
          <w:ilvl w:val="0"/>
          <w:numId w:val="1"/>
        </w:numPr>
        <w:spacing w:line="360" w:lineRule="auto"/>
        <w:ind w:left="709" w:hanging="709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D02A06">
        <w:rPr>
          <w:rFonts w:ascii="Calibri" w:eastAsia="Calibri" w:hAnsi="Calibri" w:cs="Times New Roman"/>
          <w:sz w:val="24"/>
          <w:szCs w:val="24"/>
        </w:rPr>
        <w:t xml:space="preserve">Sposoby rejestracji zwarcia przy wykonywaniu protez stałych. </w:t>
      </w:r>
    </w:p>
    <w:p w:rsidR="00D02A06" w:rsidRPr="00D02A06" w:rsidRDefault="00D02A06" w:rsidP="00D02A06">
      <w:pPr>
        <w:spacing w:line="36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24836" w:rsidRDefault="00624836">
      <w:bookmarkStart w:id="0" w:name="_GoBack"/>
      <w:bookmarkEnd w:id="0"/>
    </w:p>
    <w:sectPr w:rsidR="00624836" w:rsidSect="00F72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332A"/>
    <w:multiLevelType w:val="hybridMultilevel"/>
    <w:tmpl w:val="14CC2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90"/>
    <w:rsid w:val="00624836"/>
    <w:rsid w:val="00887390"/>
    <w:rsid w:val="00D0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2026-10-07T14:43:00Z</dcterms:created>
  <dcterms:modified xsi:type="dcterms:W3CDTF">2026-10-07T14:43:00Z</dcterms:modified>
</cp:coreProperties>
</file>