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COMMISSION IMPLEMENTING DECISION (EU) 2021/914</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of 4 June 2021</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on standard contractual clauses for the transfer of personal data to third countries pursuant to Regulation (EU) 2016/679 of the European Parliament and of the Council</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(Text with EEA relevance)</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EUROPEAN COMMISSION,</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Having regard to the Treaty on the Functioning of the European Union,</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Having regard to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hyperlink r:id="rId5" w:anchor="ntr1-L_2021199EN.01003101-E0001" w:history="1">
        <w:r w:rsidRPr="001C3273">
          <w:rPr>
            <w:rFonts w:ascii="Times New Roman" w:eastAsia="Times New Roman" w:hAnsi="Times New Roman" w:cs="Times New Roman"/>
            <w:color w:val="0000FF"/>
            <w:sz w:val="24"/>
            <w:szCs w:val="24"/>
            <w:u w:val="single"/>
            <w:lang w:eastAsia="pl-PL"/>
          </w:rPr>
          <w:t>(1)</w:t>
        </w:r>
      </w:hyperlink>
      <w:r w:rsidRPr="001C3273">
        <w:rPr>
          <w:rFonts w:ascii="Times New Roman" w:eastAsia="Times New Roman" w:hAnsi="Times New Roman" w:cs="Times New Roman"/>
          <w:sz w:val="24"/>
          <w:szCs w:val="24"/>
          <w:lang w:eastAsia="pl-PL"/>
        </w:rPr>
        <w:t>, and in particular Article 28(7) and Article 46(2)(c) thereof,</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Whereas:</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(1)</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Technological developments are facilitating cross-border data flows necessary for the expansion of international cooperation and international trade. At the same time, it is necessary to ensure that the level of protection of natural persons guaranteed by Regulation (EU) 2016/679 is not undermined where personal data is transferred to third countries, including in cases of onward transfers </w:t>
            </w:r>
            <w:hyperlink r:id="rId6" w:anchor="ntr2-L_2021199EN.01003101-E0002" w:history="1">
              <w:r w:rsidRPr="001C3273">
                <w:rPr>
                  <w:rFonts w:ascii="Times New Roman" w:eastAsia="Times New Roman" w:hAnsi="Times New Roman" w:cs="Times New Roman"/>
                  <w:color w:val="0000FF"/>
                  <w:sz w:val="24"/>
                  <w:szCs w:val="24"/>
                  <w:u w:val="single"/>
                  <w:lang w:eastAsia="pl-PL"/>
                </w:rPr>
                <w:t>(2)</w:t>
              </w:r>
            </w:hyperlink>
            <w:r w:rsidRPr="001C3273">
              <w:rPr>
                <w:rFonts w:ascii="Times New Roman" w:eastAsia="Times New Roman" w:hAnsi="Times New Roman" w:cs="Times New Roman"/>
                <w:sz w:val="24"/>
                <w:szCs w:val="24"/>
                <w:lang w:eastAsia="pl-PL"/>
              </w:rPr>
              <w:t>. The data transfer provisions in Chapter V of Regulation (EU) 2016/679 are intended to ensure the continuity of that high level of protection where personal data is transferred to a third country </w:t>
            </w:r>
            <w:hyperlink r:id="rId7" w:anchor="ntr3-L_2021199EN.01003101-E0003" w:history="1">
              <w:r w:rsidRPr="001C3273">
                <w:rPr>
                  <w:rFonts w:ascii="Times New Roman" w:eastAsia="Times New Roman" w:hAnsi="Times New Roman" w:cs="Times New Roman"/>
                  <w:color w:val="0000FF"/>
                  <w:sz w:val="24"/>
                  <w:szCs w:val="24"/>
                  <w:u w:val="single"/>
                  <w:lang w:eastAsia="pl-PL"/>
                </w:rPr>
                <w:t>(3)</w:t>
              </w:r>
            </w:hyperlink>
            <w:r w:rsidRPr="001C3273">
              <w:rPr>
                <w:rFonts w:ascii="Times New Roman" w:eastAsia="Times New Roman" w:hAnsi="Times New Roman" w:cs="Times New Roman"/>
                <w:sz w:val="24"/>
                <w:szCs w:val="24"/>
                <w:lang w:eastAsia="pl-PL"/>
              </w:rPr>
              <w:t>.</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(2)</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Pursuant to Article 46(1) of Regulation (EU) 2016/679, in the absence of an adequacy decision by the Commission pursuant to Article 45(3), a controller or processor may transfer personal data to a third country only if it has provided appropriate safeguards, and on condition that enforceable rights and effective legal remedies for data subjects are available. Such safeguards may be provided for by standard data protection clauses adopted by the Commission pursuant to Article 46(2)(c).</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(3)</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role of standard contractual clauses is limited to ensuring appropriate data protection safeguards for international data transfers. Therefore, the controller or processor transferring the personal data to a third country (the ‘data exporter’) and the controller or processor receiving the personal data (the ‘data importer’) are free to include those standard contractual clauses in a wider contract and to add other clauses or additional safeguards, provided that they do not contradict, directly or indirectly, the standard contractual clauses or prejudice the fundamental rights or freedoms of data subjects. Controllers and processors are encouraged to provide additional safeguards by means of contractual commitments that supplement the standard contractual clauses </w:t>
            </w:r>
            <w:hyperlink r:id="rId8" w:anchor="ntr4-L_2021199EN.01003101-E0004" w:history="1">
              <w:r w:rsidRPr="001C3273">
                <w:rPr>
                  <w:rFonts w:ascii="Times New Roman" w:eastAsia="Times New Roman" w:hAnsi="Times New Roman" w:cs="Times New Roman"/>
                  <w:color w:val="0000FF"/>
                  <w:sz w:val="24"/>
                  <w:szCs w:val="24"/>
                  <w:u w:val="single"/>
                  <w:lang w:eastAsia="pl-PL"/>
                </w:rPr>
                <w:t>(4)</w:t>
              </w:r>
            </w:hyperlink>
            <w:r w:rsidRPr="001C3273">
              <w:rPr>
                <w:rFonts w:ascii="Times New Roman" w:eastAsia="Times New Roman" w:hAnsi="Times New Roman" w:cs="Times New Roman"/>
                <w:sz w:val="24"/>
                <w:szCs w:val="24"/>
                <w:lang w:eastAsia="pl-PL"/>
              </w:rPr>
              <w:t>. The use of the standard contractual clauses is without prejudice to any contractual obligations of the data exporter and/or importer to ensure respect for applicable privileges and immunities.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(4)</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Beyond using standard contractual clauses to provide appropriate safeguards for transfers pursuant to Article 46(1) of Regulation (EU) 2016/679, the data exporter has to fulfil its general responsibilities as controller or processor under Regulation (EU) 2016/679. Those responsibilities include an obligation of the controller to provide data subjects with information about the fact that it intends to transfer their personal data to a third country pursuant to Article 13(1)(f) and Article 14(1)(f) of Regulation (EU) 2016/679. In the case </w:t>
            </w:r>
            <w:r w:rsidRPr="001C3273">
              <w:rPr>
                <w:rFonts w:ascii="Times New Roman" w:eastAsia="Times New Roman" w:hAnsi="Times New Roman" w:cs="Times New Roman"/>
                <w:sz w:val="24"/>
                <w:szCs w:val="24"/>
                <w:lang w:eastAsia="pl-PL"/>
              </w:rPr>
              <w:lastRenderedPageBreak/>
              <w:t>of transfers pursuant to Article 46 of Regulation (EU) 2016/679, such information must include a reference to the appropriate safeguards and the means by which to obtain a copy of them or information where they have been made available.</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(5)</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Commission Decisions 2001/497/EC </w:t>
            </w:r>
            <w:hyperlink r:id="rId9" w:anchor="ntr5-L_2021199EN.01003101-E0005" w:history="1">
              <w:r w:rsidRPr="001C3273">
                <w:rPr>
                  <w:rFonts w:ascii="Times New Roman" w:eastAsia="Times New Roman" w:hAnsi="Times New Roman" w:cs="Times New Roman"/>
                  <w:color w:val="0000FF"/>
                  <w:sz w:val="24"/>
                  <w:szCs w:val="24"/>
                  <w:u w:val="single"/>
                  <w:lang w:eastAsia="pl-PL"/>
                </w:rPr>
                <w:t>(5)</w:t>
              </w:r>
            </w:hyperlink>
            <w:r w:rsidRPr="001C3273">
              <w:rPr>
                <w:rFonts w:ascii="Times New Roman" w:eastAsia="Times New Roman" w:hAnsi="Times New Roman" w:cs="Times New Roman"/>
                <w:sz w:val="24"/>
                <w:szCs w:val="24"/>
                <w:lang w:eastAsia="pl-PL"/>
              </w:rPr>
              <w:t xml:space="preserve"> and 2010/87/EU </w:t>
            </w:r>
            <w:hyperlink r:id="rId10" w:anchor="ntr6-L_2021199EN.01003101-E0006" w:history="1">
              <w:r w:rsidRPr="001C3273">
                <w:rPr>
                  <w:rFonts w:ascii="Times New Roman" w:eastAsia="Times New Roman" w:hAnsi="Times New Roman" w:cs="Times New Roman"/>
                  <w:color w:val="0000FF"/>
                  <w:sz w:val="24"/>
                  <w:szCs w:val="24"/>
                  <w:u w:val="single"/>
                  <w:lang w:eastAsia="pl-PL"/>
                </w:rPr>
                <w:t>(6)</w:t>
              </w:r>
            </w:hyperlink>
            <w:r w:rsidRPr="001C3273">
              <w:rPr>
                <w:rFonts w:ascii="Times New Roman" w:eastAsia="Times New Roman" w:hAnsi="Times New Roman" w:cs="Times New Roman"/>
                <w:sz w:val="24"/>
                <w:szCs w:val="24"/>
                <w:lang w:eastAsia="pl-PL"/>
              </w:rPr>
              <w:t xml:space="preserve"> contain standard contractual clauses to facilitate the transfer of personal data from a data controller established in the Union to a controller or processor established in a third country that does not offer an adequate level of protection. Those decisions were based on Directive 95/46/EC of the European Parliament and of the Council </w:t>
            </w:r>
            <w:hyperlink r:id="rId11" w:anchor="ntr7-L_2021199EN.01003101-E0007" w:history="1">
              <w:r w:rsidRPr="001C3273">
                <w:rPr>
                  <w:rFonts w:ascii="Times New Roman" w:eastAsia="Times New Roman" w:hAnsi="Times New Roman" w:cs="Times New Roman"/>
                  <w:color w:val="0000FF"/>
                  <w:sz w:val="24"/>
                  <w:szCs w:val="24"/>
                  <w:u w:val="single"/>
                  <w:lang w:eastAsia="pl-PL"/>
                </w:rPr>
                <w:t>(7)</w:t>
              </w:r>
            </w:hyperlink>
            <w:r w:rsidRPr="001C3273">
              <w:rPr>
                <w:rFonts w:ascii="Times New Roman" w:eastAsia="Times New Roman" w:hAnsi="Times New Roman" w:cs="Times New Roman"/>
                <w:sz w:val="24"/>
                <w:szCs w:val="24"/>
                <w:lang w:eastAsia="pl-PL"/>
              </w:rPr>
              <w:t>.</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(6)</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Pursuant to Article 46(5) of Regulation (EU) 2016/679, Decision 2001/497/EC and Decision 2010/87/EU remain in force until amended, replaced or repealed, if necessary, by a Commission decision adopted pursuant to Article 46(2) of that Regulation. The standard contractual clauses in the decisions required updating in the light of new requirements in Regulation (EU) 2016/679. Moreover, since the decisions were adopted, the digital economy has seen significant developments, with the widespread use of new and more complex processing operations often involving multiple data importers and exporters, long and complex processing chains, and evolving business relationships. This calls for modernisation of the standard contractual clauses to reflect those realities better, by covering additional processing and transfer situations, and to allow a more flexible approach, for example with respect to the number of parties able to join the contract.</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(7)</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 controller or processor may use the standard contractual clauses set out in the Annex to this Decision to provide appropriate safeguards within the meaning of Article 46(1) of Regulation (EU) 2016/679 for the transfer of personal data to a processor or controller established in a third country, without prejudice to the interpretation of the notion of international transfer in Regulation (EU) 2016/679. The standard contractual clauses may be used for such transfers only to the extent that the processing by the importer does not fall within the scope of Regulation (EU) 2016/679. This also includes the transfer of personal data by a controller or processor not established in the Union, to the extent that the processing is subject to Regulation (EU) 2016/679 (pursuant to Article 3(2) thereof), because it relates to the offering of goods or services to data subjects in the Union or the monitoring of their behaviour as far as it takes place within the Union.</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(8)</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Given the general alignment of Regulation (EU) 2016/679 and Regulation (EU) 2018/1725 of the European Parliament and of the Council </w:t>
            </w:r>
            <w:hyperlink r:id="rId12" w:anchor="ntr8-L_2021199EN.01003101-E0008" w:history="1">
              <w:r w:rsidRPr="001C3273">
                <w:rPr>
                  <w:rFonts w:ascii="Times New Roman" w:eastAsia="Times New Roman" w:hAnsi="Times New Roman" w:cs="Times New Roman"/>
                  <w:color w:val="0000FF"/>
                  <w:sz w:val="24"/>
                  <w:szCs w:val="24"/>
                  <w:u w:val="single"/>
                  <w:lang w:eastAsia="pl-PL"/>
                </w:rPr>
                <w:t>(8)</w:t>
              </w:r>
            </w:hyperlink>
            <w:r w:rsidRPr="001C3273">
              <w:rPr>
                <w:rFonts w:ascii="Times New Roman" w:eastAsia="Times New Roman" w:hAnsi="Times New Roman" w:cs="Times New Roman"/>
                <w:sz w:val="24"/>
                <w:szCs w:val="24"/>
                <w:lang w:eastAsia="pl-PL"/>
              </w:rPr>
              <w:t>, it should be possible to use the standard contractual clauses also in the context of a contract, as referred to in Article 29(4) of Regulation (EU) 2018/1725 for the transfer of personal data to a sub-processor in a third country by a processor that is not a Union institution or body, but which is subject to Regulation (EU) 2016/679 and which processes personal data on behalf of a Union institution or body in accordance with Article 29 of Regulation (EU) 2018/1725. Provided the contract reflects the same data protection obligations as set out in the contract or other legal act between the controller and the processor pursuant to Article 29(3) Regulation (EU) 2018/1725, in particular by providing sufficient guarantees for technical and organisational measures to ensure that the processing meets the requirements of that Regulation, this will ensure compliance with Article 29(4) of Regulation (EU) 2018/1725. In particular, that will be the case where the controller and processor use the standard contractual clauses in Commission Implementing Decision on standard contractual clauses between controllers and processors under Article 28(7) of Regulation (EU) 2016/679 of the European Parliament and of the Council and Article 29(7) of Regulation (EU) 2018/1725 of the European Parliament and of the Council </w:t>
            </w:r>
            <w:hyperlink r:id="rId13" w:anchor="ntr9-L_2021199EN.01003101-E0009" w:history="1">
              <w:r w:rsidRPr="001C3273">
                <w:rPr>
                  <w:rFonts w:ascii="Times New Roman" w:eastAsia="Times New Roman" w:hAnsi="Times New Roman" w:cs="Times New Roman"/>
                  <w:color w:val="0000FF"/>
                  <w:sz w:val="24"/>
                  <w:szCs w:val="24"/>
                  <w:u w:val="single"/>
                  <w:lang w:eastAsia="pl-PL"/>
                </w:rPr>
                <w:t>(9)</w:t>
              </w:r>
            </w:hyperlink>
            <w:r w:rsidRPr="001C3273">
              <w:rPr>
                <w:rFonts w:ascii="Times New Roman" w:eastAsia="Times New Roman" w:hAnsi="Times New Roman" w:cs="Times New Roman"/>
                <w:sz w:val="24"/>
                <w:szCs w:val="24"/>
                <w:lang w:eastAsia="pl-PL"/>
              </w:rPr>
              <w:t>.</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(9)</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Where the processing involves data transfers from controllers subject to Regulation (EU) 2016/679 to processors outside its territorial scope or from processors subject to Regulation (EU) 2016/679 to sub-processors outside its territorial scope, the standard </w:t>
            </w:r>
            <w:r w:rsidRPr="001C3273">
              <w:rPr>
                <w:rFonts w:ascii="Times New Roman" w:eastAsia="Times New Roman" w:hAnsi="Times New Roman" w:cs="Times New Roman"/>
                <w:sz w:val="24"/>
                <w:szCs w:val="24"/>
                <w:lang w:eastAsia="pl-PL"/>
              </w:rPr>
              <w:lastRenderedPageBreak/>
              <w:t>contractual clauses set out in the Annex to this Decision should also allow to fulfil the requirements of Article 28(3) and (4) of Regulation (EU) 2016/679.</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(10)</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standard contractual clauses set out in the Annex to this Decision combine general clauses with a modular approach to cater for various transfer scenarios and the complexity of modern processing chains. In addition to the general clauses, controllers and processors should select the module applicable to their situation, so as to tailor their obligations under the standard contractual clauses to their role and responsibilities in relation to the data processing in question. It should be possible for more than two parties to adhere to the standard contractual clauses. Moreover, additional controllers and processors should be allowed to accede to the standard contractual clauses as data exporters or importers throughout the lifecycle of the contract of which they form a part.</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(11)</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In order to provide appropriate safeguards, the standard contractual clauses should ensure that the personal data transferred on that basis is afforded a level of protection essentially equivalent to that guaranteed within the Union </w:t>
            </w:r>
            <w:hyperlink r:id="rId14" w:anchor="ntr10-L_2021199EN.01003101-E0010" w:history="1">
              <w:r w:rsidRPr="001C3273">
                <w:rPr>
                  <w:rFonts w:ascii="Times New Roman" w:eastAsia="Times New Roman" w:hAnsi="Times New Roman" w:cs="Times New Roman"/>
                  <w:color w:val="0000FF"/>
                  <w:sz w:val="24"/>
                  <w:szCs w:val="24"/>
                  <w:u w:val="single"/>
                  <w:lang w:eastAsia="pl-PL"/>
                </w:rPr>
                <w:t>(10)</w:t>
              </w:r>
            </w:hyperlink>
            <w:r w:rsidRPr="001C3273">
              <w:rPr>
                <w:rFonts w:ascii="Times New Roman" w:eastAsia="Times New Roman" w:hAnsi="Times New Roman" w:cs="Times New Roman"/>
                <w:sz w:val="24"/>
                <w:szCs w:val="24"/>
                <w:lang w:eastAsia="pl-PL"/>
              </w:rPr>
              <w:t>. With a view to ensuring transparency of processing, data subjects should be provided with a copy of the standard contractual clauses and be informed, in particular, of the categories of personal data processed, the right to obtain a copy of the standard contractual clauses, and any onward transfer. Onward transfers by the data importer to a third party in another third country should be allowed only if the third party accedes to the standard contractual clauses, if the continuity of protection is ensured otherwise, or in specific situations, such as on the basis of the explicit, informed consent of the data subject.</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(12)</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With some exceptions, in particular as regards certain obligations that exclusively concern the relationship between the data exporter and data importer, data subjects should be able to invoke, and where necessary enforce, the standard contractual clauses as third-party beneficiaries. Therefore, while the parties should be allowed to choose the law of one of the Member States as governing the standard contractual clauses, that law must allow for third-party beneficiary rights. In order to facilitate individual redress, the standard contractual clauses should require the data importer to inform data subjects of a contact point and to deal promptly with any complaints or requests. In the event of a dispute between the data importer and a data subject who invokes his or her rights as a third-party beneficiary, the data subject should be able to lodge a complaint with the competent supervisory authority or refer the dispute to the competent courts in the EU.</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(13)</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In order to ensure effective enforcement, the data importer should be required to submit to the jurisdiction of such authority and courts, and to commit to abide by any binding decision under the applicable Member State law. In particular, the data importer should agree to respond to enquiries, submit to audits and comply with the measures adopted by the supervisory authority, including remedial and compensatory measures. In addition, the data importer should have the option of offering data subjects the opportunity to seek redress before an independent dispute resolution body, at no cost. In line with Article 80(1) of Regulation (EU) 2016/679, data subjects should be allowed to be represented by associations or other bodies in disputes against the data importer if they so wish.</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(14)</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standard contractual clauses should provide for rules on liability between the parties and with respect to data subjects, and rules on indemnification between the parties. Where the data subject suffers material or non-material damage as a consequence of any breach of the third-party beneficiary rights under the standard contractual clauses, he or she should be entitled to compensation. This should be without prejudice to any liability under Regulation (EU) 2016/679.</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(15)</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In the case of a transfer to a data importer acting as a processor or sub-processor, specific requirements should apply in accordance with Article 28(3) of Regulation (EU) 2016/679. </w:t>
            </w:r>
            <w:r w:rsidRPr="001C3273">
              <w:rPr>
                <w:rFonts w:ascii="Times New Roman" w:eastAsia="Times New Roman" w:hAnsi="Times New Roman" w:cs="Times New Roman"/>
                <w:sz w:val="24"/>
                <w:szCs w:val="24"/>
                <w:lang w:eastAsia="pl-PL"/>
              </w:rPr>
              <w:lastRenderedPageBreak/>
              <w:t>The standard contractual clauses should require the data importer to make available all information necessary to demonstrate compliance with the obligations set out in the clauses and to allow for and contribute to audits of its processing activities by the data exporter. With respect to the engagement of any sub-processor by the data importer, in line with Article 28(2) and (4) of Regulation (EU) 2016/679, the standard contractual clauses should in particular set out the procedure for general or specific authorisation from the data exporter and the requirement for a written contract with the sub-processor ensuring the same level of protection as under the clauses.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(16)</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It is appropriate to provide different safeguards in the standard contractual clauses that cover the specific situation of a transfer of personal data by a processor in the Union to its controller in a third country and reflect the limited self-standing obligations for processors under Regulation (EU) 2016/679. In particular, the standard contractual clauses should require the processor to inform the controller if it is unable to follow its instructions, including if such instructions infringe Union data protection law, and require the controller to refrain from any actions that would prevent the processor from fulfilling its obligations under Regulation (EU) 2016/679. They should also require the parties to assist each other in responding to enquiries and requests from data subjects under the local law applicable to the data importer or, for data processing in the Union, under Regulation (EU) 2016/679. Additional requirements to address any effects of the laws of the third country of destination on the controller’s compliance with the clauses, in particular how to deal with binding requests from public authorities in the third country for disclosure of the transferred personal data, should apply where the Union processor combines the personal data received from the controller in the third country with personal data collected by the processor in the Union. Conversely, no such requirements are justified where the outsourcing merely involves the processing and transfer back of personal data that has been received from the controller and in any event has been and will remain subject to the jurisdiction of the third country in question.</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(17)</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parties should be able to demonstrate compliance with the standard contractual clauses. In particular, the data importer should be required to keep appropriate documentation for the processing activities under its responsibility and to inform the data exporter promptly if it is unable to comply with the clauses, for whatever reason. In turn, the data exporter should suspend the transfer and, in particularly serious cases, have the right to terminate the contract, insofar as it concerns the processing of personal data under standard contractual clauses, where the data importer is in breach of the clauses or unable to comply with them. Specific rules should apply where local laws affect compliance with the clauses. Personal data that has been transferred prior to the termination of the contract, and any copies thereof, should at the choice of the data exporter be returned to the data exporter or destroyed in their entirety.</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(18)</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standard contractual clauses should provide for specific safeguards, in particular in the light of the case law of the Court of Justice </w:t>
            </w:r>
            <w:hyperlink r:id="rId15" w:anchor="ntr11-L_2021199EN.01003101-E0011" w:history="1">
              <w:r w:rsidRPr="001C3273">
                <w:rPr>
                  <w:rFonts w:ascii="Times New Roman" w:eastAsia="Times New Roman" w:hAnsi="Times New Roman" w:cs="Times New Roman"/>
                  <w:color w:val="0000FF"/>
                  <w:sz w:val="24"/>
                  <w:szCs w:val="24"/>
                  <w:u w:val="single"/>
                  <w:lang w:eastAsia="pl-PL"/>
                </w:rPr>
                <w:t>(11)</w:t>
              </w:r>
            </w:hyperlink>
            <w:r w:rsidRPr="001C3273">
              <w:rPr>
                <w:rFonts w:ascii="Times New Roman" w:eastAsia="Times New Roman" w:hAnsi="Times New Roman" w:cs="Times New Roman"/>
                <w:sz w:val="24"/>
                <w:szCs w:val="24"/>
                <w:lang w:eastAsia="pl-PL"/>
              </w:rPr>
              <w:t>, to address any effects of the laws of the third country of destination on the data importer’s compliance with the clauses, in particular how to deal with binding requests from public authorities in that country for disclosure of the transferred personal data.</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(19)</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The transfer and processing of personal data under standard contractual clauses should not take place if the laws and practices of the third country of destination prevent the data importer from complying with the clauses. In this context, laws and practices that respect the essence of the fundamental rights and freedoms and do not exceed what is necessary and proportionate in a democratic society to safeguard one of the objectives listed in Article 23(1) of Regulation (EU) 2016/679 should not be considered as being in conflict with the standard contractual clauses. The parties should warrant that, at the time of </w:t>
            </w:r>
            <w:r w:rsidRPr="001C3273">
              <w:rPr>
                <w:rFonts w:ascii="Times New Roman" w:eastAsia="Times New Roman" w:hAnsi="Times New Roman" w:cs="Times New Roman"/>
                <w:sz w:val="24"/>
                <w:szCs w:val="24"/>
                <w:lang w:eastAsia="pl-PL"/>
              </w:rPr>
              <w:lastRenderedPageBreak/>
              <w:t>agreeing to the standard contractual clauses, they have no reason to believe that the laws and practices applicable to the data importer are not in line with these requirements.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(20)</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parties should take account, in particular, of the specific circumstances of the transfer (such as the content and duration of the contract, the nature of the data to be transferred, the type of recipient, the purpose of the processing), the laws and practices of the third country of destination that are relevant in light of the circumstances of the transfer and any safeguards put in place to supplement those under the standard contractual clauses (including relevant contractual, technical and organisational measures applying to the transmission of personal data and its processing in the country of destination). As regards the impact of such laws and practices on compliance with the standard contractual clauses, different elements may be considered as part of an overall assessment, including reliable information on the application of the law in practice (such as case law and reports by independent oversight bodies), the existence or absence of requests in the same sector and, under strict conditions, the documented practical experience of the data exporter and/or data importer.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(21)</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should notify the data exporter if, after agreeing to the standard contractual clauses, it has reason to believe that it is not able to comply with the standard contractual clauses. If the data exporter receives such notification or otherwise becomes aware that the data importer is no longer able to comply with the standard contractual clauses, it should identify appropriate measures to address the situation, if necessary in consultation with the competent supervisory authority. Such measures may include supplementary measures adopted by the data exporter and/or data importer, such as technical or organisational measures to ensure security and confidentiality. The data exporter should be required to suspend the transfer if it considers that no appropriate safeguards can be ensured, or if so instructed by the competent supervisory authority.</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(22)</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possible, the data importer should notify the data exporter and the data subject if it receives a legally binding request from a public (including judicial) authority under the law of the country of destination for disclosure of personal data transferred pursuant to the standard contractual clauses. Similarly, it should notify them if it becomes aware of any direct access by public authorities to such personal data, in accordance with the law of the third country of destination. If, despite its best efforts, the data importer is not in a position to notify the data exporter and/or the data subject of specific disclosure requests, it should provide the data exporter with as much relevant information as possible on the requests. In addition, the data importer should provide the data exporter with aggregate information at regular intervals. The data importer should also be required to document any request for disclosure received and the response provided, and make that information available to the data exporter or the competent supervisory authority, or both, upon request. If, following a review of the legality of such a request under the laws of the country of destination, the data importer concludes that there are reasonable grounds to consider that the request is unlawful under the laws of the third country of destination, it should challenge it, including, where appropriate, by exhausting available possibilities of appeal. In any event, if the data importer is no longer able to comply with the standard contractual clauses, it should inform the data exporter accordingly, including where this is the consequence of a request for disclosure.</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(23)</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As stakeholder needs, technology and processing operations may change, the Commission should evaluate the operation of the standard contractual clauses in the light of experience, as part of the periodic evaluation of Regulation (EU) 2016/679 referred to in Article 97 of that Regulation.</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(24)</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Decision 2001/497/EC and Decision 2010/87/EU should be repealed three months after the entry into force of this Decision. During that period, data exporters and data importers </w:t>
            </w:r>
            <w:r w:rsidRPr="001C3273">
              <w:rPr>
                <w:rFonts w:ascii="Times New Roman" w:eastAsia="Times New Roman" w:hAnsi="Times New Roman" w:cs="Times New Roman"/>
                <w:sz w:val="24"/>
                <w:szCs w:val="24"/>
                <w:lang w:eastAsia="pl-PL"/>
              </w:rPr>
              <w:lastRenderedPageBreak/>
              <w:t>should, for the purpose of Article 46(1) of Regulation (EU) 2016/679, still be able to use the standard contractual clauses set out in Decisions 2001/497/EC and 2010/87/EU. For an additional period of 15 months, data exporters and data importers should, for the purpose of Article 46(1) of Regulation (EU) 2016/679, be able to continue to rely on standard contractual clauses set out in Decisions 2001/497/EC and 2010/87/EU for the performance of contracts concluded between them before the date of repeal of those decisions, provided that the processing operations that are the subject matter of the contract remain unchanged and that reliance on the clauses ensures that the transfer of personal data is subject to appropriate safeguards within the meaning of Article 46(1) of Regulation (EU) 2016/679. In the event of relevant changes to the contract, the data exporter should be required to rely on a new ground for data transfers under the contract, in particular by replacing the existing standard contractual clauses with the standard contractual clauses set out in the Annex to this Decision. The same should apply to any sub-contracting to a (sub-)processor of processing operations covered by the contract.</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(25)</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European Data Protection Supervisor and the European Data Protection Board were consulted in accordance with Article 42(1) and (2) of Regulation (EU) 2018/1725 and delivered a joint opinion on 14 January 2021 </w:t>
            </w:r>
            <w:hyperlink r:id="rId16" w:anchor="ntr12-L_2021199EN.01003101-E0012" w:history="1">
              <w:r w:rsidRPr="001C3273">
                <w:rPr>
                  <w:rFonts w:ascii="Times New Roman" w:eastAsia="Times New Roman" w:hAnsi="Times New Roman" w:cs="Times New Roman"/>
                  <w:color w:val="0000FF"/>
                  <w:sz w:val="24"/>
                  <w:szCs w:val="24"/>
                  <w:u w:val="single"/>
                  <w:lang w:eastAsia="pl-PL"/>
                </w:rPr>
                <w:t>(12)</w:t>
              </w:r>
            </w:hyperlink>
            <w:r w:rsidRPr="001C3273">
              <w:rPr>
                <w:rFonts w:ascii="Times New Roman" w:eastAsia="Times New Roman" w:hAnsi="Times New Roman" w:cs="Times New Roman"/>
                <w:sz w:val="24"/>
                <w:szCs w:val="24"/>
                <w:lang w:eastAsia="pl-PL"/>
              </w:rPr>
              <w:t>, which has been taken into consideration in the preparation of this Decision.</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(26)</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measures provided for in this Decision are in accordance with the opinion of the Committee established under Article 93 of Regulation (EU) 2016/679,</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HAS ADOPTED THIS DECISION:</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Article 1</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1.   The standard contractual clauses set out in the Annex are considered to provide appropriate safeguards within the meaning of Article 46(1) and (2)(c) of Regulation (EU) 2016/679 for the transfer by a controller or processor of personal data processed subject to that Regulation (data exporter) to a controller or (sub-)processor whose processing of the data is not subject to that Regulation (data importer).</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2.   The standard contractual clauses also set out the rights and obligations of controllers and processors with respect to the matters referred to in Article 28(3) and (4) of Regulation (EU) 2016/679, as regards the transfer of personal data from a controller to a processor, or from a processor to a sub-processor.</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Article 2</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the competent Member State authorities exercise corrective powers pursuant to Article 58 of Regulation (EU) 2016/679 in response to the data importer being or becoming subject to laws or practices in the third country of destination that prevent it from complying with the standard contractual clauses set out in the Annex, leading to the suspension or ban of data transfers to third countries, the Member State concerned shall, without delay, inform the Commission, which will forward the information to the other Member States.</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Article 3</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Commission shall evaluate the practical application of the standard contractual clauses set out in the Annex on the basis of all available information, as part of the periodic evaluation required by Article 97 of Regulation (EU) 2016/679.</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Article 4</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1.   This Decision shall enter into force on the twentieth day following that of its publication in the Official Journal of the European Union.</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2.   Decision 2001/497/EC is repealed with effect from 27 September 2021.</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3.   Decision 2010/87/EU is repealed with effect from 27 September 2021.</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4.   Contracts concluded before 27 September 2021 on the basis of Decision 2001/497/EC or Decision 2010/87/EU shall be deemed to provide appropriate safeguards within the meaning of Article 46(1) of Regulation (EU) 2016/679 until 27 December 2022, provided the processing operations that are the subject matter of the contract remain unchanged and that reliance on those clauses ensures that the transfer of personal data is subject to appropriate safeguards.</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Done at Brussels, 4 June 2021.</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For the Commission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The President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Ursula VON DER LEYEN</w:t>
      </w:r>
    </w:p>
    <w:p w:rsidR="001C3273" w:rsidRPr="001C3273" w:rsidRDefault="001C3273" w:rsidP="001C3273">
      <w:pPr>
        <w:spacing w:after="0"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pict>
          <v:rect id="_x0000_i1043" style="width:0;height:1.5pt" o:hralign="center" o:hrstd="t" o:hr="t" fillcolor="#a0a0a0" stroked="f"/>
        </w:pic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17" w:anchor="ntc1-L_2021199EN.01003101-E0001" w:history="1">
        <w:r w:rsidRPr="001C3273">
          <w:rPr>
            <w:rFonts w:ascii="Times New Roman" w:eastAsia="Times New Roman" w:hAnsi="Times New Roman" w:cs="Times New Roman"/>
            <w:color w:val="0000FF"/>
            <w:sz w:val="24"/>
            <w:szCs w:val="24"/>
            <w:u w:val="single"/>
            <w:lang w:eastAsia="pl-PL"/>
          </w:rPr>
          <w:t>(1)</w:t>
        </w:r>
      </w:hyperlink>
      <w:r w:rsidRPr="001C3273">
        <w:rPr>
          <w:rFonts w:ascii="Times New Roman" w:eastAsia="Times New Roman" w:hAnsi="Times New Roman" w:cs="Times New Roman"/>
          <w:sz w:val="24"/>
          <w:szCs w:val="24"/>
          <w:lang w:eastAsia="pl-PL"/>
        </w:rPr>
        <w:t>  </w:t>
      </w:r>
      <w:hyperlink r:id="rId18" w:history="1">
        <w:r w:rsidRPr="001C3273">
          <w:rPr>
            <w:rFonts w:ascii="Times New Roman" w:eastAsia="Times New Roman" w:hAnsi="Times New Roman" w:cs="Times New Roman"/>
            <w:color w:val="0000FF"/>
            <w:sz w:val="24"/>
            <w:szCs w:val="24"/>
            <w:u w:val="single"/>
            <w:lang w:eastAsia="pl-PL"/>
          </w:rPr>
          <w:t>OJ L 119, 4.5.2016, p. 1</w:t>
        </w:r>
      </w:hyperlink>
      <w:r w:rsidRPr="001C3273">
        <w:rPr>
          <w:rFonts w:ascii="Times New Roman" w:eastAsia="Times New Roman" w:hAnsi="Times New Roman" w:cs="Times New Roman"/>
          <w:sz w:val="24"/>
          <w:szCs w:val="24"/>
          <w:lang w:eastAsia="pl-PL"/>
        </w:rPr>
        <w:t>.</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19" w:anchor="ntc2-L_2021199EN.01003101-E0002" w:history="1">
        <w:r w:rsidRPr="001C3273">
          <w:rPr>
            <w:rFonts w:ascii="Times New Roman" w:eastAsia="Times New Roman" w:hAnsi="Times New Roman" w:cs="Times New Roman"/>
            <w:color w:val="0000FF"/>
            <w:sz w:val="24"/>
            <w:szCs w:val="24"/>
            <w:u w:val="single"/>
            <w:lang w:eastAsia="pl-PL"/>
          </w:rPr>
          <w:t>(2)</w:t>
        </w:r>
      </w:hyperlink>
      <w:r w:rsidRPr="001C3273">
        <w:rPr>
          <w:rFonts w:ascii="Times New Roman" w:eastAsia="Times New Roman" w:hAnsi="Times New Roman" w:cs="Times New Roman"/>
          <w:sz w:val="24"/>
          <w:szCs w:val="24"/>
          <w:lang w:eastAsia="pl-PL"/>
        </w:rPr>
        <w:t>  Article 44 of Regulation (EU) 2016/679.</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20" w:anchor="ntc3-L_2021199EN.01003101-E0003" w:history="1">
        <w:r w:rsidRPr="001C3273">
          <w:rPr>
            <w:rFonts w:ascii="Times New Roman" w:eastAsia="Times New Roman" w:hAnsi="Times New Roman" w:cs="Times New Roman"/>
            <w:color w:val="0000FF"/>
            <w:sz w:val="24"/>
            <w:szCs w:val="24"/>
            <w:u w:val="single"/>
            <w:lang w:eastAsia="pl-PL"/>
          </w:rPr>
          <w:t>(3)</w:t>
        </w:r>
      </w:hyperlink>
      <w:r w:rsidRPr="001C3273">
        <w:rPr>
          <w:rFonts w:ascii="Times New Roman" w:eastAsia="Times New Roman" w:hAnsi="Times New Roman" w:cs="Times New Roman"/>
          <w:sz w:val="24"/>
          <w:szCs w:val="24"/>
          <w:lang w:eastAsia="pl-PL"/>
        </w:rPr>
        <w:t>  See also judgment of the Court of Justice of 16 July 2020 in Case C-311/18, Data Protection Commissioner v Facebook Ireland Ltd and Maximillian Schrems (‘Schrems II’), ECLI:EU:C:2020:559, paragraph 93.</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21" w:anchor="ntc4-L_2021199EN.01003101-E0004" w:history="1">
        <w:r w:rsidRPr="001C3273">
          <w:rPr>
            <w:rFonts w:ascii="Times New Roman" w:eastAsia="Times New Roman" w:hAnsi="Times New Roman" w:cs="Times New Roman"/>
            <w:color w:val="0000FF"/>
            <w:sz w:val="24"/>
            <w:szCs w:val="24"/>
            <w:u w:val="single"/>
            <w:lang w:eastAsia="pl-PL"/>
          </w:rPr>
          <w:t>(4)</w:t>
        </w:r>
      </w:hyperlink>
      <w:r w:rsidRPr="001C3273">
        <w:rPr>
          <w:rFonts w:ascii="Times New Roman" w:eastAsia="Times New Roman" w:hAnsi="Times New Roman" w:cs="Times New Roman"/>
          <w:sz w:val="24"/>
          <w:szCs w:val="24"/>
          <w:lang w:eastAsia="pl-PL"/>
        </w:rPr>
        <w:t>  Recital 109 of Regulation (EU) 2016/679.</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22" w:anchor="ntc5-L_2021199EN.01003101-E0005" w:history="1">
        <w:r w:rsidRPr="001C3273">
          <w:rPr>
            <w:rFonts w:ascii="Times New Roman" w:eastAsia="Times New Roman" w:hAnsi="Times New Roman" w:cs="Times New Roman"/>
            <w:color w:val="0000FF"/>
            <w:sz w:val="24"/>
            <w:szCs w:val="24"/>
            <w:u w:val="single"/>
            <w:lang w:eastAsia="pl-PL"/>
          </w:rPr>
          <w:t>(5)</w:t>
        </w:r>
      </w:hyperlink>
      <w:r w:rsidRPr="001C3273">
        <w:rPr>
          <w:rFonts w:ascii="Times New Roman" w:eastAsia="Times New Roman" w:hAnsi="Times New Roman" w:cs="Times New Roman"/>
          <w:sz w:val="24"/>
          <w:szCs w:val="24"/>
          <w:lang w:eastAsia="pl-PL"/>
        </w:rPr>
        <w:t>  Commission Decision 2001/497/EC of 15 June 2001 on standard contractual clauses for the transfer of personal data to third countries, under Directive 95/46/EC (</w:t>
      </w:r>
      <w:hyperlink r:id="rId23" w:history="1">
        <w:r w:rsidRPr="001C3273">
          <w:rPr>
            <w:rFonts w:ascii="Times New Roman" w:eastAsia="Times New Roman" w:hAnsi="Times New Roman" w:cs="Times New Roman"/>
            <w:color w:val="0000FF"/>
            <w:sz w:val="24"/>
            <w:szCs w:val="24"/>
            <w:u w:val="single"/>
            <w:lang w:eastAsia="pl-PL"/>
          </w:rPr>
          <w:t>OJ L 181, 4.7.2001, p. 19</w:t>
        </w:r>
      </w:hyperlink>
      <w:r w:rsidRPr="001C3273">
        <w:rPr>
          <w:rFonts w:ascii="Times New Roman" w:eastAsia="Times New Roman" w:hAnsi="Times New Roman" w:cs="Times New Roman"/>
          <w:sz w:val="24"/>
          <w:szCs w:val="24"/>
          <w:lang w:eastAsia="pl-PL"/>
        </w:rPr>
        <w:t>).</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24" w:anchor="ntc6-L_2021199EN.01003101-E0006" w:history="1">
        <w:r w:rsidRPr="001C3273">
          <w:rPr>
            <w:rFonts w:ascii="Times New Roman" w:eastAsia="Times New Roman" w:hAnsi="Times New Roman" w:cs="Times New Roman"/>
            <w:color w:val="0000FF"/>
            <w:sz w:val="24"/>
            <w:szCs w:val="24"/>
            <w:u w:val="single"/>
            <w:lang w:eastAsia="pl-PL"/>
          </w:rPr>
          <w:t>(6)</w:t>
        </w:r>
      </w:hyperlink>
      <w:r w:rsidRPr="001C3273">
        <w:rPr>
          <w:rFonts w:ascii="Times New Roman" w:eastAsia="Times New Roman" w:hAnsi="Times New Roman" w:cs="Times New Roman"/>
          <w:sz w:val="24"/>
          <w:szCs w:val="24"/>
          <w:lang w:eastAsia="pl-PL"/>
        </w:rPr>
        <w:t>  Commission Decision 2010/87/EU of 5 February 2010 on standard contractual clauses for the transfer of personal data to processors established in third countries under Directive 95/46/EC of the European Parliament and of the Council (</w:t>
      </w:r>
      <w:hyperlink r:id="rId25" w:history="1">
        <w:r w:rsidRPr="001C3273">
          <w:rPr>
            <w:rFonts w:ascii="Times New Roman" w:eastAsia="Times New Roman" w:hAnsi="Times New Roman" w:cs="Times New Roman"/>
            <w:color w:val="0000FF"/>
            <w:sz w:val="24"/>
            <w:szCs w:val="24"/>
            <w:u w:val="single"/>
            <w:lang w:eastAsia="pl-PL"/>
          </w:rPr>
          <w:t>OJ L 39, 12.2.2010, p. 5</w:t>
        </w:r>
      </w:hyperlink>
      <w:r w:rsidRPr="001C3273">
        <w:rPr>
          <w:rFonts w:ascii="Times New Roman" w:eastAsia="Times New Roman" w:hAnsi="Times New Roman" w:cs="Times New Roman"/>
          <w:sz w:val="24"/>
          <w:szCs w:val="24"/>
          <w:lang w:eastAsia="pl-PL"/>
        </w:rPr>
        <w:t>).</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26" w:anchor="ntc7-L_2021199EN.01003101-E0007" w:history="1">
        <w:r w:rsidRPr="001C3273">
          <w:rPr>
            <w:rFonts w:ascii="Times New Roman" w:eastAsia="Times New Roman" w:hAnsi="Times New Roman" w:cs="Times New Roman"/>
            <w:color w:val="0000FF"/>
            <w:sz w:val="24"/>
            <w:szCs w:val="24"/>
            <w:u w:val="single"/>
            <w:lang w:eastAsia="pl-PL"/>
          </w:rPr>
          <w:t>(7)</w:t>
        </w:r>
      </w:hyperlink>
      <w:r w:rsidRPr="001C3273">
        <w:rPr>
          <w:rFonts w:ascii="Times New Roman" w:eastAsia="Times New Roman" w:hAnsi="Times New Roman" w:cs="Times New Roman"/>
          <w:sz w:val="24"/>
          <w:szCs w:val="24"/>
          <w:lang w:eastAsia="pl-PL"/>
        </w:rPr>
        <w:t>  Directive 95/46/EC of the European Parliament and of the Council of 24 October 1995 on the protection of individuals with regard to the processing of personal data and on the free movement of such data (</w:t>
      </w:r>
      <w:hyperlink r:id="rId27" w:history="1">
        <w:r w:rsidRPr="001C3273">
          <w:rPr>
            <w:rFonts w:ascii="Times New Roman" w:eastAsia="Times New Roman" w:hAnsi="Times New Roman" w:cs="Times New Roman"/>
            <w:color w:val="0000FF"/>
            <w:sz w:val="24"/>
            <w:szCs w:val="24"/>
            <w:u w:val="single"/>
            <w:lang w:eastAsia="pl-PL"/>
          </w:rPr>
          <w:t>OJ L 281, 23.11.1995, p. 31</w:t>
        </w:r>
      </w:hyperlink>
      <w:r w:rsidRPr="001C3273">
        <w:rPr>
          <w:rFonts w:ascii="Times New Roman" w:eastAsia="Times New Roman" w:hAnsi="Times New Roman" w:cs="Times New Roman"/>
          <w:sz w:val="24"/>
          <w:szCs w:val="24"/>
          <w:lang w:eastAsia="pl-PL"/>
        </w:rPr>
        <w:t>).</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28" w:anchor="ntc8-L_2021199EN.01003101-E0008" w:history="1">
        <w:r w:rsidRPr="001C3273">
          <w:rPr>
            <w:rFonts w:ascii="Times New Roman" w:eastAsia="Times New Roman" w:hAnsi="Times New Roman" w:cs="Times New Roman"/>
            <w:color w:val="0000FF"/>
            <w:sz w:val="24"/>
            <w:szCs w:val="24"/>
            <w:u w:val="single"/>
            <w:lang w:eastAsia="pl-PL"/>
          </w:rPr>
          <w:t>(8)</w:t>
        </w:r>
      </w:hyperlink>
      <w:r w:rsidRPr="001C3273">
        <w:rPr>
          <w:rFonts w:ascii="Times New Roman" w:eastAsia="Times New Roman" w:hAnsi="Times New Roman" w:cs="Times New Roman"/>
          <w:sz w:val="24"/>
          <w:szCs w:val="24"/>
          <w:lang w:eastAsia="pl-PL"/>
        </w:rPr>
        <w:t xml:space="preserve">  Regulation (EU) 2018/1725 of the European Parliament and of the Council of 23 October 2018 on the protection of natural persons with regard to the processing of personal data by the </w:t>
      </w:r>
      <w:r w:rsidRPr="001C3273">
        <w:rPr>
          <w:rFonts w:ascii="Times New Roman" w:eastAsia="Times New Roman" w:hAnsi="Times New Roman" w:cs="Times New Roman"/>
          <w:sz w:val="24"/>
          <w:szCs w:val="24"/>
          <w:lang w:eastAsia="pl-PL"/>
        </w:rPr>
        <w:lastRenderedPageBreak/>
        <w:t>Union institutions, bodies, offices and agencies and on the free movement of such data and repealing Regulation (EC) No 45/2001 and Decision No 1247/2002/EC (</w:t>
      </w:r>
      <w:hyperlink r:id="rId29" w:history="1">
        <w:r w:rsidRPr="001C3273">
          <w:rPr>
            <w:rFonts w:ascii="Times New Roman" w:eastAsia="Times New Roman" w:hAnsi="Times New Roman" w:cs="Times New Roman"/>
            <w:color w:val="0000FF"/>
            <w:sz w:val="24"/>
            <w:szCs w:val="24"/>
            <w:u w:val="single"/>
            <w:lang w:eastAsia="pl-PL"/>
          </w:rPr>
          <w:t>OJ L 295, 21.11.2018, p. 39</w:t>
        </w:r>
      </w:hyperlink>
      <w:r w:rsidRPr="001C3273">
        <w:rPr>
          <w:rFonts w:ascii="Times New Roman" w:eastAsia="Times New Roman" w:hAnsi="Times New Roman" w:cs="Times New Roman"/>
          <w:sz w:val="24"/>
          <w:szCs w:val="24"/>
          <w:lang w:eastAsia="pl-PL"/>
        </w:rPr>
        <w:t>); see recital 5.</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30" w:anchor="ntc9-L_2021199EN.01003101-E0009" w:history="1">
        <w:r w:rsidRPr="001C3273">
          <w:rPr>
            <w:rFonts w:ascii="Times New Roman" w:eastAsia="Times New Roman" w:hAnsi="Times New Roman" w:cs="Times New Roman"/>
            <w:color w:val="0000FF"/>
            <w:sz w:val="24"/>
            <w:szCs w:val="24"/>
            <w:u w:val="single"/>
            <w:lang w:eastAsia="pl-PL"/>
          </w:rPr>
          <w:t>(9)</w:t>
        </w:r>
      </w:hyperlink>
      <w:r w:rsidRPr="001C3273">
        <w:rPr>
          <w:rFonts w:ascii="Times New Roman" w:eastAsia="Times New Roman" w:hAnsi="Times New Roman" w:cs="Times New Roman"/>
          <w:sz w:val="24"/>
          <w:szCs w:val="24"/>
          <w:lang w:eastAsia="pl-PL"/>
        </w:rPr>
        <w:t>  C(2021) 3701.</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31" w:anchor="ntc10-L_2021199EN.01003101-E0010" w:history="1">
        <w:r w:rsidRPr="001C3273">
          <w:rPr>
            <w:rFonts w:ascii="Times New Roman" w:eastAsia="Times New Roman" w:hAnsi="Times New Roman" w:cs="Times New Roman"/>
            <w:color w:val="0000FF"/>
            <w:sz w:val="24"/>
            <w:szCs w:val="24"/>
            <w:u w:val="single"/>
            <w:lang w:eastAsia="pl-PL"/>
          </w:rPr>
          <w:t>(10)</w:t>
        </w:r>
      </w:hyperlink>
      <w:r w:rsidRPr="001C3273">
        <w:rPr>
          <w:rFonts w:ascii="Times New Roman" w:eastAsia="Times New Roman" w:hAnsi="Times New Roman" w:cs="Times New Roman"/>
          <w:sz w:val="24"/>
          <w:szCs w:val="24"/>
          <w:lang w:eastAsia="pl-PL"/>
        </w:rPr>
        <w:t>  Schrems II, paragraphs 96 and 103. See also Regulation (EU) 2016/679, recitals 108 and 114.</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32" w:anchor="ntc11-L_2021199EN.01003101-E0011" w:history="1">
        <w:r w:rsidRPr="001C3273">
          <w:rPr>
            <w:rFonts w:ascii="Times New Roman" w:eastAsia="Times New Roman" w:hAnsi="Times New Roman" w:cs="Times New Roman"/>
            <w:color w:val="0000FF"/>
            <w:sz w:val="24"/>
            <w:szCs w:val="24"/>
            <w:u w:val="single"/>
            <w:lang w:eastAsia="pl-PL"/>
          </w:rPr>
          <w:t>(11)</w:t>
        </w:r>
      </w:hyperlink>
      <w:r w:rsidRPr="001C3273">
        <w:rPr>
          <w:rFonts w:ascii="Times New Roman" w:eastAsia="Times New Roman" w:hAnsi="Times New Roman" w:cs="Times New Roman"/>
          <w:sz w:val="24"/>
          <w:szCs w:val="24"/>
          <w:lang w:eastAsia="pl-PL"/>
        </w:rPr>
        <w:t>  Schrems II.</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33" w:anchor="ntc12-L_2021199EN.01003101-E0012" w:history="1">
        <w:r w:rsidRPr="001C3273">
          <w:rPr>
            <w:rFonts w:ascii="Times New Roman" w:eastAsia="Times New Roman" w:hAnsi="Times New Roman" w:cs="Times New Roman"/>
            <w:color w:val="0000FF"/>
            <w:sz w:val="24"/>
            <w:szCs w:val="24"/>
            <w:u w:val="single"/>
            <w:lang w:eastAsia="pl-PL"/>
          </w:rPr>
          <w:t>(12)</w:t>
        </w:r>
      </w:hyperlink>
      <w:r w:rsidRPr="001C3273">
        <w:rPr>
          <w:rFonts w:ascii="Times New Roman" w:eastAsia="Times New Roman" w:hAnsi="Times New Roman" w:cs="Times New Roman"/>
          <w:sz w:val="24"/>
          <w:szCs w:val="24"/>
          <w:lang w:eastAsia="pl-PL"/>
        </w:rPr>
        <w:t>  EDPB EDPS Joint Opinion 2/2021 on the European Commission’s Implementing Decision on standard contractual clauses for the transfer of personal data to third countries for the matters referred to in Article 46(2)(c) of Regulation (EU) 2016/679.</w:t>
      </w:r>
    </w:p>
    <w:p w:rsidR="001C3273" w:rsidRPr="001C3273" w:rsidRDefault="001C3273" w:rsidP="001C3273">
      <w:pPr>
        <w:spacing w:after="0"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pict>
          <v:rect id="_x0000_i1044" style="width:0;height:1.5pt" o:hralign="center" o:hrstd="t" o:hr="t" fillcolor="#a0a0a0" stroked="f"/>
        </w:pic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ANNEX</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STANDARD CONTRACTUAL CLAUSES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SECTION I</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Clause 1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Purpose and scope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w:t>
            </w:r>
            <w:hyperlink r:id="rId34" w:anchor="ntr1-L_2021199EN.01003701-E0001" w:history="1">
              <w:r w:rsidRPr="001C3273">
                <w:rPr>
                  <w:rFonts w:ascii="Times New Roman" w:eastAsia="Times New Roman" w:hAnsi="Times New Roman" w:cs="Times New Roman"/>
                  <w:color w:val="0000FF"/>
                  <w:sz w:val="24"/>
                  <w:szCs w:val="24"/>
                  <w:u w:val="single"/>
                  <w:lang w:eastAsia="pl-PL"/>
                </w:rPr>
                <w:t>(1)</w:t>
              </w:r>
            </w:hyperlink>
            <w:r w:rsidRPr="001C3273">
              <w:rPr>
                <w:rFonts w:ascii="Times New Roman" w:eastAsia="Times New Roman" w:hAnsi="Times New Roman" w:cs="Times New Roman"/>
                <w:sz w:val="24"/>
                <w:szCs w:val="24"/>
                <w:lang w:eastAsia="pl-PL"/>
              </w:rPr>
              <w:t xml:space="preserve"> for the transfer of personal data to a third country.</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Parties:</w:t>
            </w:r>
          </w:p>
          <w:tbl>
            <w:tblPr>
              <w:tblW w:w="5000" w:type="pct"/>
              <w:tblCellSpacing w:w="0" w:type="dxa"/>
              <w:tblCellMar>
                <w:left w:w="0" w:type="dxa"/>
                <w:right w:w="0" w:type="dxa"/>
              </w:tblCellMar>
              <w:tblLook w:val="04A0" w:firstRow="1" w:lastRow="0" w:firstColumn="1" w:lastColumn="0" w:noHBand="0" w:noVBand="1"/>
            </w:tblPr>
            <w:tblGrid>
              <w:gridCol w:w="227"/>
              <w:gridCol w:w="8565"/>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natural or legal person(s), public authority/ies, agency/ies or other body/ies (hereinafter ‘entity/ies’) transferring the personal data, as listed in Annex I.A (hereinafter each ‘data exporter’), and</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498"/>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entity/ies in a third country receiving the personal data from the data exporter, directly or indirectly via another entity also Party to these Clauses, as listed in Annex I.A (hereinafter each ‘data importer’)</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have agreed to these standard contractual clauses (hereinafter: ‘Clauses’).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9"/>
        <w:gridCol w:w="8803"/>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These Clauses apply with respect to the transfer of personal data as specified in Annex I.B.</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Appendix to these Clauses containing the Annexes referred to therein forms an integral part of these Clauses.</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Clause 2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Effect and invariability of the Clauses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These Clauses are without prejudice to obligations to which the data exporter is subject by virtue of Regulation (EU) 2016/679.</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Clause 3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Third-party beneficiaries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Data subjects may invoke and enforce these Clauses, as third-party beneficiaries, against the data exporter and/or data importer, with the following exceptions:</w:t>
            </w:r>
          </w:p>
          <w:tbl>
            <w:tblPr>
              <w:tblW w:w="5000" w:type="pct"/>
              <w:tblCellSpacing w:w="0" w:type="dxa"/>
              <w:tblCellMar>
                <w:left w:w="0" w:type="dxa"/>
                <w:right w:w="0" w:type="dxa"/>
              </w:tblCellMar>
              <w:tblLook w:val="04A0" w:firstRow="1" w:lastRow="0" w:firstColumn="1" w:lastColumn="0" w:noHBand="0" w:noVBand="1"/>
            </w:tblPr>
            <w:tblGrid>
              <w:gridCol w:w="405"/>
              <w:gridCol w:w="8400"/>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Clause 1, Clause 2, Clause 3, Clause 6, Clause 7;</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11"/>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Clause 8 – Module One: Clause 8.5 (e) and Clause 8.9(b); Module Two: Clause 8.1(b), 8.9(a), (c), (d) and (e); Module Three: Clause 8.1(a), (c) and (d) and Clause 8.9(a), (c), (d), (e), (f) and (g); Module Four: Clause 8.1 (b) and Clause 8.3(b);</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445"/>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Clause 9 – Module Two: Clause 9(a), (c), (d) and (e); Module Three: Clause 9(a), (c), (d) and (e);</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458"/>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(iv)</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Clause 12 – Module One: Clause 12(a) and (d); Modules Two and Three: Clause 12(a), (d) and (f);</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96"/>
              <w:gridCol w:w="6909"/>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(v)</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Clause 13;</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037"/>
              <w:gridCol w:w="7768"/>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(vi)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Clause 15.1(c), (d) and (e);</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143"/>
              <w:gridCol w:w="6662"/>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(vii)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Clause 16(e);</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80"/>
              <w:gridCol w:w="8325"/>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(viii)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Clause 18 – Modules One, Two and Three: Clause 18(a) and (b); Module Four: Clause 18.</w:t>
                  </w:r>
                </w:p>
              </w:tc>
            </w:tr>
          </w:tbl>
          <w:p w:rsidR="001C3273" w:rsidRPr="001C3273" w:rsidRDefault="001C3273" w:rsidP="001C3273">
            <w:pPr>
              <w:spacing w:after="0" w:line="240" w:lineRule="auto"/>
              <w:rPr>
                <w:rFonts w:ascii="Times New Roman" w:eastAsia="Times New Roman" w:hAnsi="Times New Roman" w:cs="Times New Roman"/>
                <w:sz w:val="24"/>
                <w:szCs w:val="24"/>
                <w:lang w:eastAsia="pl-PL"/>
              </w:rPr>
            </w:pP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Paragraph (a) is without prejudice to rights of data subjects under Regulation (EU) 2016/679.</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Clause 4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Interpretation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these Clauses use terms that are defined in Regulation (EU) 2016/679, those terms shall have the same meaning as in that Regulation.</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These Clauses shall be read and interpreted in the light of the provisions of Regulation (EU) 2016/679.</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These Clauses shall not be interpreted in a way that conflicts with rights and obligations provided for in Regulation (EU) 2016/679.</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Clause 5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Hierarchy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In the event of a contradiction between these Clauses and the provisions of related agreements between the Parties, existing at the time these Clauses are agreed or entered into thereafter, these Clauses shall prevail.</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Clause 6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Description of the transfer(s)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details of the transfer(s), and in particular the categories of personal data that are transferred and the purpose(s) for which they are transferred, are specified in Annex I.B.</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Clause 7 – Optional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Docking clause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An entity that is not a Party to these Clauses may, with the agreement of the Parties, accede to these Clauses at any time, either as a data exporter or as a data importer, by completing the Appendix and signing Annex I.A.</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Once it has completed the Appendix and signed Annex I.A, the acceding entity shall become a Party to these Clauses and have the rights and obligations of a data exporter or data importer in accordance with its designation in Annex I.A.</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acceding entity shall have no rights or obligations arising under these Clauses from the period prior to becoming a Party.</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SECTION II – OBLIGATIONS OF THE PARTIES</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Clause 8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Data protection safeguards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exporter warrants that it has used reasonable efforts to determine that the data importer is able, through the implementation of appropriate technical and organisational measures, to satisfy its obligations under these Clauses.</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ONE: Transfer controller to controller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8.1   Purpose limitation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process the personal data only for the specific purpose(s) of the transfer, as set out in Annex I.B. It may only process the personal data for another purpose:</w:t>
      </w:r>
    </w:p>
    <w:tbl>
      <w:tblPr>
        <w:tblW w:w="5000" w:type="pct"/>
        <w:tblCellSpacing w:w="0" w:type="dxa"/>
        <w:tblCellMar>
          <w:left w:w="0" w:type="dxa"/>
          <w:right w:w="0" w:type="dxa"/>
        </w:tblCellMar>
        <w:tblLook w:val="04A0" w:firstRow="1" w:lastRow="0" w:firstColumn="1" w:lastColumn="0" w:noHBand="0" w:noVBand="1"/>
      </w:tblPr>
      <w:tblGrid>
        <w:gridCol w:w="382"/>
        <w:gridCol w:w="8690"/>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it has obtained the data subject’s prior consent;</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necessary for the establishment, exercise or defence of legal claims in the context of specific administrative, regulatory or judicial proceedings; or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necessary in order to protect the vital interests of the data subject or of another natural person.</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8.2   Transparency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In order to enable data subjects to effectively exercise their rights pursuant to Clause 10, the data importer shall inform them, either directly or through the data exporter:</w:t>
            </w:r>
          </w:p>
          <w:tbl>
            <w:tblPr>
              <w:tblW w:w="5000" w:type="pct"/>
              <w:tblCellSpacing w:w="0" w:type="dxa"/>
              <w:tblCellMar>
                <w:left w:w="0" w:type="dxa"/>
                <w:right w:w="0" w:type="dxa"/>
              </w:tblCellMar>
              <w:tblLook w:val="04A0" w:firstRow="1" w:lastRow="0" w:firstColumn="1" w:lastColumn="0" w:noHBand="0" w:noVBand="1"/>
            </w:tblPr>
            <w:tblGrid>
              <w:gridCol w:w="584"/>
              <w:gridCol w:w="8221"/>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of its identity and contact details;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569"/>
              <w:gridCol w:w="8236"/>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of the categories of personal data processed;</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673"/>
              <w:gridCol w:w="8132"/>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of the right to obtain a copy of these Clauses;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458"/>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(iv)</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it intends to onward transfer the personal data to any third party/ies, of the recipient or categories of recipients (as appropriate with a view to providing meaningful information), the purpose of such onward transfer and the ground therefore pursuant to Clause 8.7.</w:t>
                  </w:r>
                </w:p>
              </w:tc>
            </w:tr>
          </w:tbl>
          <w:p w:rsidR="001C3273" w:rsidRPr="001C3273" w:rsidRDefault="001C3273" w:rsidP="001C3273">
            <w:pPr>
              <w:spacing w:after="0" w:line="240" w:lineRule="auto"/>
              <w:rPr>
                <w:rFonts w:ascii="Times New Roman" w:eastAsia="Times New Roman" w:hAnsi="Times New Roman" w:cs="Times New Roman"/>
                <w:sz w:val="24"/>
                <w:szCs w:val="24"/>
                <w:lang w:eastAsia="pl-PL"/>
              </w:rPr>
            </w:pP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Paragraphs (a) to (c) are without prejudice to the obligations of the data exporter under Articles 13 and 14 of Regulation (EU) 2016/679.</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8.3   Accuracy and data minimisation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Each Party shall ensure that the personal data is accurate and, where necessary, kept up to date. The data importer shall take every reasonable step to ensure that personal data that is inaccurate, having regard to the purpose(s) of processing, is erased or rectified without delay.</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If one of the Parties becomes aware that the personal data it has transferred or received is inaccurate, or has become outdated, it shall inform the other Party without undue delay.</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ensure that the personal data is adequate, relevant and limited to what is necessary in relation to the purpose(s) of processing.</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8.4   Storage limitation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retain the personal data for no longer than necessary for the purpose(s) for which it is processed. It shall put in place appropriate technical or organisational measures to ensure compliance with this obligation, including erasure or anonymisation </w:t>
      </w:r>
      <w:hyperlink r:id="rId35" w:anchor="ntr2-L_2021199EN.01003701-E0002" w:history="1">
        <w:r w:rsidRPr="001C3273">
          <w:rPr>
            <w:rFonts w:ascii="Times New Roman" w:eastAsia="Times New Roman" w:hAnsi="Times New Roman" w:cs="Times New Roman"/>
            <w:color w:val="0000FF"/>
            <w:sz w:val="24"/>
            <w:szCs w:val="24"/>
            <w:u w:val="single"/>
            <w:lang w:eastAsia="pl-PL"/>
          </w:rPr>
          <w:t>(2)</w:t>
        </w:r>
      </w:hyperlink>
      <w:r w:rsidRPr="001C3273">
        <w:rPr>
          <w:rFonts w:ascii="Times New Roman" w:eastAsia="Times New Roman" w:hAnsi="Times New Roman" w:cs="Times New Roman"/>
          <w:sz w:val="24"/>
          <w:szCs w:val="24"/>
          <w:lang w:eastAsia="pl-PL"/>
        </w:rPr>
        <w:t xml:space="preserve"> of the data and all back-ups at the end of the retention period.</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8.5   Security of processing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disclosure or access (hereinafter ‘personal data </w:t>
            </w:r>
            <w:r w:rsidRPr="001C3273">
              <w:rPr>
                <w:rFonts w:ascii="Times New Roman" w:eastAsia="Times New Roman" w:hAnsi="Times New Roman" w:cs="Times New Roman"/>
                <w:sz w:val="24"/>
                <w:szCs w:val="24"/>
                <w:lang w:eastAsia="pl-PL"/>
              </w:rPr>
              <w:lastRenderedPageBreak/>
              <w:t>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Parties have agreed on the technical and organisational measures set out in Annex II. The data importer shall carry out regular checks to ensure that these measures continue to provide an appropriate level of security.</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ensure that persons authorised to process the personal data have committed themselves to confidentiality or are under an appropriate statutory obligation of confidentiality.</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In the event of a personal data breach concerning personal data processed by the data importer under these Clauses, the data importer shall take appropriate measures to address the personal data breach, including measures to mitigate its possible adverse effects.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(f)</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(g)</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document all relevant facts relating to the personal data breach, including its effects and any remedial action taken, and keep a record thereof.</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8.6   Sensitive data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8.7   Onward transfers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not disclose the personal data to a third party located outside the European Union </w:t>
      </w:r>
      <w:hyperlink r:id="rId36" w:anchor="ntr3-L_2021199EN.01003701-E0003" w:history="1">
        <w:r w:rsidRPr="001C3273">
          <w:rPr>
            <w:rFonts w:ascii="Times New Roman" w:eastAsia="Times New Roman" w:hAnsi="Times New Roman" w:cs="Times New Roman"/>
            <w:color w:val="0000FF"/>
            <w:sz w:val="24"/>
            <w:szCs w:val="24"/>
            <w:u w:val="single"/>
            <w:lang w:eastAsia="pl-PL"/>
          </w:rPr>
          <w:t>(3)</w:t>
        </w:r>
      </w:hyperlink>
      <w:r w:rsidRPr="001C3273">
        <w:rPr>
          <w:rFonts w:ascii="Times New Roman" w:eastAsia="Times New Roman" w:hAnsi="Times New Roman" w:cs="Times New Roman"/>
          <w:sz w:val="24"/>
          <w:szCs w:val="24"/>
          <w:lang w:eastAsia="pl-PL"/>
        </w:rPr>
        <w:t xml:space="preserve"> (in the same country as the data importer or in another third country, hereinafter ‘onward transfer’) unless the third party is or agrees to be bound by these Clauses, </w:t>
      </w:r>
      <w:r w:rsidRPr="001C3273">
        <w:rPr>
          <w:rFonts w:ascii="Times New Roman" w:eastAsia="Times New Roman" w:hAnsi="Times New Roman" w:cs="Times New Roman"/>
          <w:sz w:val="24"/>
          <w:szCs w:val="24"/>
          <w:lang w:eastAsia="pl-PL"/>
        </w:rPr>
        <w:lastRenderedPageBreak/>
        <w:t>under the appropriate Module. Otherwise, an onward transfer by the data importer may only take place if:</w:t>
      </w: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it is to a country benefitting from an adequacy decision pursuant to Article 45 of Regulation (EU) 2016/679 that covers the onward transfer;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third party otherwise ensures appropriate safeguards pursuant to Articles 46 or 47 of Regulation (EU) 2016/679 with respect to the processing in question;</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third party enters into a binding instrument with the data importer ensuring the same level of data protection as under these Clauses, and the data importer provides a copy of these safeguards to the data exporter;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(iv)</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it is necessary for the establishment, exercise or defence of legal claims in the context of specific administrative, regulatory or judicial proceedings;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(v)</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it is necessary in order to protect the vital interests of the data subject or of another natural person; or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(vi)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Any onward transfer is subject to compliance by the data importer with all the other safeguards under these Clauses, in particular purpose limitation.</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8.8   Processing under the authority of the data importer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ensure that any person acting under its authority, including a processor, processes the data only on its instructions.</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8.9   Documentation and compliance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Each Party shall be able to demonstrate compliance with its obligations under these Clauses. In particular, the data importer shall keep appropriate documentation of the processing activities carried out under its responsibility.</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make such documentation available to the competent supervisory authority on request.</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TWO: Transfer controller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8.1   Instructions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process the personal data only on documented instructions from the data exporter. The data exporter may give such instructions throughout the duration of the contract.</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immediately inform the data exporter if it is unable to follow those instructions.</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8.2   Purpose limitation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The data importer shall process the personal data only for the specific purpose(s) of the transfer, as set out in Annex I.B, unless on further instructions from the data exporter.</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8.3   Transparency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8.4   Accuracy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8.5   Duration of processing and erasure or return of data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8.6   Security of processing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w:t>
            </w:r>
            <w:r w:rsidRPr="001C3273">
              <w:rPr>
                <w:rFonts w:ascii="Times New Roman" w:eastAsia="Times New Roman" w:hAnsi="Times New Roman" w:cs="Times New Roman"/>
                <w:sz w:val="24"/>
                <w:szCs w:val="24"/>
                <w:lang w:eastAsia="pl-PL"/>
              </w:rPr>
              <w:lastRenderedPageBreak/>
              <w:t>control of the data exporter.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8.7   Sensitive data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8.8   Onward transfers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only disclose the personal data to a third party on documented instructions from the data exporter. In addition, the data may only be disclosed to a third party located outside the European Union </w:t>
      </w:r>
      <w:hyperlink r:id="rId37" w:anchor="ntr4-L_2021199EN.01003701-E0004" w:history="1">
        <w:r w:rsidRPr="001C3273">
          <w:rPr>
            <w:rFonts w:ascii="Times New Roman" w:eastAsia="Times New Roman" w:hAnsi="Times New Roman" w:cs="Times New Roman"/>
            <w:color w:val="0000FF"/>
            <w:sz w:val="24"/>
            <w:szCs w:val="24"/>
            <w:u w:val="single"/>
            <w:lang w:eastAsia="pl-PL"/>
          </w:rPr>
          <w:t>(4)</w:t>
        </w:r>
      </w:hyperlink>
      <w:r w:rsidRPr="001C3273">
        <w:rPr>
          <w:rFonts w:ascii="Times New Roman" w:eastAsia="Times New Roman" w:hAnsi="Times New Roman" w:cs="Times New Roman"/>
          <w:sz w:val="24"/>
          <w:szCs w:val="24"/>
          <w:lang w:eastAsia="pl-PL"/>
        </w:rPr>
        <w:t xml:space="preserve"> (in the same country as the data importer or in another third country, hereinafter ‘onward transfer’) if the third party is or agrees to be bound by these Clauses, under the appropriate Module, or if:</w:t>
      </w: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onward transfer is to a country benefitting from an adequacy decision pursuant to Article 45 of Regulation (EU) 2016/679 that covers the onward transfer;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third party otherwise ensures appropriate safeguards pursuant to Articles 46 or 47 Regulation of (EU) 2016/679 with respect to the processing in question;</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onward transfer is necessary for the establishment, exercise or defence of legal claims in the context of specific administrative, regulatory or judicial proceedings; or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(iv)</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onward transfer is necessary in order to protect the vital interests of the data subject or of another natural person.</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Any onward transfer is subject to compliance by the data importer with all the other safeguards under these Clauses, in particular purpose limitation.</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8.9   Documentation and compliance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promptly and adequately deal with enquiries from the data exporter that relate to the processing under these Clauses.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Parties shall be able to demonstrate compliance with these Clauses. In particular, the data importer shall keep appropriate documentation on the processing activities carried out on behalf of the data exporter.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take into account relevant certifications held by the data importer.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exporter may choose to conduct the audit by itself or mandate an independent auditor. Audits may include inspections at the premises or physical facilities of the data importer and shall, where appropriate, be carried out with reasonable notice.</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Parties shall make the information referred to in paragraphs (b) and (c), including the results of any audits, available to the competent supervisory authority on request.</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THREE: Transfer processor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8.1   Instructions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exporter has informed the data importer that it acts as processor under the instructions of its controller(s), which the data exporter shall make available to the data importer prior to processing.</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process the personal data only on documented instructions from the controller, as communicated to the data importer by the data exporter, and any additional documented instructions from the data exporter. Such additional instructions shall not conflict with the instructions from the controller. The controller or data exporter may give further documented instructions regarding the data processing throughout the duration of the contract.</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immediately inform the data exporter if it is unable to follow those instructions. Where the data importer is unable to follow the instructions from the controller, the data exporter shall immediately notify the controller.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exporter warrants that it has imposed the same data protection obligations on the data importer as set out in the contract or other legal act under Union or Member State law between the controller and the data exporter </w:t>
            </w:r>
            <w:hyperlink r:id="rId38" w:anchor="ntr5-L_2021199EN.01003701-E0005" w:history="1">
              <w:r w:rsidRPr="001C3273">
                <w:rPr>
                  <w:rFonts w:ascii="Times New Roman" w:eastAsia="Times New Roman" w:hAnsi="Times New Roman" w:cs="Times New Roman"/>
                  <w:color w:val="0000FF"/>
                  <w:sz w:val="24"/>
                  <w:szCs w:val="24"/>
                  <w:u w:val="single"/>
                  <w:lang w:eastAsia="pl-PL"/>
                </w:rPr>
                <w:t>(5)</w:t>
              </w:r>
            </w:hyperlink>
            <w:r w:rsidRPr="001C3273">
              <w:rPr>
                <w:rFonts w:ascii="Times New Roman" w:eastAsia="Times New Roman" w:hAnsi="Times New Roman" w:cs="Times New Roman"/>
                <w:sz w:val="24"/>
                <w:szCs w:val="24"/>
                <w:lang w:eastAsia="pl-PL"/>
              </w:rPr>
              <w:t>.</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8.2   Purpose limitation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process the personal data only for the specific purpose(s) of the transfer, as set out in Annex I.B., unless on further instructions from the controller, as communicated to the data importer by the data exporter, or from the data exporter.</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 xml:space="preserve">8.3   Transparency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On request, the data exporter shall make a copy of these Clauses, including the Appendix as completed by the Parties, available to the data subject free of charge. To the extent necessary to protect business secrets or other confidential information, including personal data, the data exporter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8.4   Accuracy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If the data importer becomes aware that the personal data it has received is inaccurate, or has become outdated, it shall inform the data exporter without undue delay. In this case, the data importer shall cooperate with the data exporter to rectify or erase the data.</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8.5   Duration of processing and erasure or return of data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Processing by the data importer shall only take place for the duration specified in Annex I.B. After the end of the provision of the processing services, the data importer shall, at the choice of the data exporter, delete all personal data processed on behalf of the controller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8.6   Security of processing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or the controller.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grant access to the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without undue delay, the data exporter and, where appropriate and feasible, the controller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data breach, including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cooperate with and assist the data exporter to enable the data exporter to comply with its obligations under Regulation (EU) 2016/679, in particular to notify its controller so that the latter may in turn notify the competent supervisory authority and the affected data subjects, taking into account the nature of processing and the information available to the data importer.</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8.7   Sensitive data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set out in Annex I.B.</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8.8   Onward transfers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only disclose the personal data to a third party on documented instructions from the controller, as communicated to the data importer by the data exporter. In addition, the data may only be disclosed to a third party located outside the European Union </w:t>
      </w:r>
      <w:hyperlink r:id="rId39" w:anchor="ntr6-L_2021199EN.01003701-E0006" w:history="1">
        <w:r w:rsidRPr="001C3273">
          <w:rPr>
            <w:rFonts w:ascii="Times New Roman" w:eastAsia="Times New Roman" w:hAnsi="Times New Roman" w:cs="Times New Roman"/>
            <w:color w:val="0000FF"/>
            <w:sz w:val="24"/>
            <w:szCs w:val="24"/>
            <w:u w:val="single"/>
            <w:lang w:eastAsia="pl-PL"/>
          </w:rPr>
          <w:t>(6)</w:t>
        </w:r>
      </w:hyperlink>
      <w:r w:rsidRPr="001C3273">
        <w:rPr>
          <w:rFonts w:ascii="Times New Roman" w:eastAsia="Times New Roman" w:hAnsi="Times New Roman" w:cs="Times New Roman"/>
          <w:sz w:val="24"/>
          <w:szCs w:val="24"/>
          <w:lang w:eastAsia="pl-PL"/>
        </w:rPr>
        <w:t xml:space="preserve"> (in the same country as the data importer or in another third country, hereinafter ‘onward transfer’) if the third party is or agrees to be bound by these Clauses, under the appropriate Module, or if:</w:t>
      </w: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onward transfer is to a country benefitting from an adequacy decision pursuant to Article 45 of Regulation (EU) 2016/679 that covers the onward transfer;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third party otherwise ensures appropriate safeguards pursuant to Articles 46 or 47 of Regulation (EU) 2016/679;</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onward transfer is necessary for the establishment, exercise or defence of legal claims in the context of specific administrative, regulatory or judicial proceedings; or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(iv)</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onward transfer is necessary in order to protect the vital interests of the data subject or of another natural person.</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Any onward transfer is subject to compliance by the data importer with all the other safeguards under these Clauses, in particular purpose limitation.</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8.9   Documentation and compliance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promptly and adequately deal with enquiries from the data exporter or the controller that relate to the processing under these Clauses.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Parties shall be able to demonstrate compliance with these Clauses. In particular, the data importer shall keep appropriate documentation on the processing activities carried out on behalf of the controller.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make all information necessary to demonstrate compliance with the obligations set out in these Clauses available to the data exporter, which shall provide it to the controller.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allow for and contribute to audits by the data exporter of the processing activities covered by these Clauses, at reasonable intervals or if there are indications of non-compliance. The same shall apply where the data exporter requests an audit on instructions of the controller. In deciding on an audit, the data exporter may take into account relevant certifications held by the data importer.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the audit is carried out on the instructions of the controller, the data exporter shall make the results available to the controller.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(f)</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exporter may choose to conduct the audit by itself or mandate an independent auditor. Audits may include inspections at the premises or physical facilities of the data importer and shall, where appropriate, be carried out with reasonable notice.</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(g)</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Parties shall make the information referred to in paragraphs (b) and (c), including the results of any audits, available to the competent supervisory authority on request.</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FOUR: Transfer processor to controller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8.1   Instructions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exporter shall process the personal data only on documented instructions from the data importer acting as its controller.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exporter shall immediately inform the data importer if it is unable to follow those instructions, including if such instructions infringe Regulation (EU) 2016/679 or other Union or Member State data protection law.</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refrain from any action that would prevent the data exporter from fulfilling its obligations under Regulation (EU) 2016/679, including in the context of sub-processing or as regards cooperation with competent supervisory authorities.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After the end of the provision of the processing services, the data exporter shall, at the choice of the data importer, delete all personal data processed on behalf of the data importer and certify to the data importer that it has done so, or return to the data importer all personal data processed on its behalf and delete existing copies.</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8.2   Security of processing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The Parties shall implement appropriate technical and organisational measures to ensure the security of the data, including during transmission, and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w:t>
            </w:r>
            <w:r w:rsidRPr="001C3273">
              <w:rPr>
                <w:rFonts w:ascii="Times New Roman" w:eastAsia="Times New Roman" w:hAnsi="Times New Roman" w:cs="Times New Roman"/>
                <w:sz w:val="24"/>
                <w:szCs w:val="24"/>
                <w:lang w:eastAsia="pl-PL"/>
              </w:rPr>
              <w:lastRenderedPageBreak/>
              <w:t>the nature of the personal data </w:t>
            </w:r>
            <w:hyperlink r:id="rId40" w:anchor="ntr7-L_2021199EN.01003701-E0007" w:history="1">
              <w:r w:rsidRPr="001C3273">
                <w:rPr>
                  <w:rFonts w:ascii="Times New Roman" w:eastAsia="Times New Roman" w:hAnsi="Times New Roman" w:cs="Times New Roman"/>
                  <w:color w:val="0000FF"/>
                  <w:sz w:val="24"/>
                  <w:szCs w:val="24"/>
                  <w:u w:val="single"/>
                  <w:lang w:eastAsia="pl-PL"/>
                </w:rPr>
                <w:t>(7)</w:t>
              </w:r>
            </w:hyperlink>
            <w:r w:rsidRPr="001C3273">
              <w:rPr>
                <w:rFonts w:ascii="Times New Roman" w:eastAsia="Times New Roman" w:hAnsi="Times New Roman" w:cs="Times New Roman"/>
                <w:sz w:val="24"/>
                <w:szCs w:val="24"/>
                <w:lang w:eastAsia="pl-PL"/>
              </w:rPr>
              <w:t>, the nature, scope, context and purpose(s) of processing and the risks involved in the processing for the data subjects, and in particular consider having recourse to encryption or pseudonymisation, including during transmission, where the purpose of processing can be fulfilled in that manner.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exporter shall assist the data importer in ensuring appropriate security of the data in accordance with paragraph (a). In case of a personal data breach concerning the personal data processed by the data exporter under these Clauses, the data exporter shall notify the data importer without undue delay after becoming aware of it and assist the data importer in addressing the breach.</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exporter shall ensure that persons authorised to process the personal data have committed themselves to confidentiality or are under an appropriate statutory obligation of confidentiality.</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8.3   Documentation and compliance </w:t>
      </w:r>
    </w:p>
    <w:tbl>
      <w:tblPr>
        <w:tblW w:w="5000" w:type="pct"/>
        <w:tblCellSpacing w:w="0" w:type="dxa"/>
        <w:tblCellMar>
          <w:left w:w="0" w:type="dxa"/>
          <w:right w:w="0" w:type="dxa"/>
        </w:tblCellMar>
        <w:tblLook w:val="04A0" w:firstRow="1" w:lastRow="0" w:firstColumn="1" w:lastColumn="0" w:noHBand="0" w:noVBand="1"/>
      </w:tblPr>
      <w:tblGrid>
        <w:gridCol w:w="338"/>
        <w:gridCol w:w="8734"/>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Parties shall be able to demonstrate compliance with these Clauses.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exporter shall make available to the data importer all information necessary to demonstrate compliance with its obligations under these Clauses and allow for and contribute to audits.</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Clause 9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Use of sub-processors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TWO: Transfer controller to processor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OPTION 1: SPECIFIC PRIOR AUTHORISATION The data importer shall not sub-contract any of its processing activities performed on behalf of the data exporter under these Clauses to a sub-processor without the data exporter’s prior specific written authorisation. The data importer shall submit the request for specific authorisation at least [Specify time period] prior to the engagement of the sub-processor, together with the information necessary to enable the data exporter to decide on the authorisation. The list of sub-processors already authorised by the data exporter can be found in Annex III. The Parties shall keep Annex III up to date.</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OPTION 2: GENERAL WRITTEN AUTHORISATION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[Specify time period]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w:t>
            </w:r>
            <w:hyperlink r:id="rId41" w:anchor="ntr8-L_2021199EN.01003701-E0008" w:history="1">
              <w:r w:rsidRPr="001C3273">
                <w:rPr>
                  <w:rFonts w:ascii="Times New Roman" w:eastAsia="Times New Roman" w:hAnsi="Times New Roman" w:cs="Times New Roman"/>
                  <w:color w:val="0000FF"/>
                  <w:sz w:val="24"/>
                  <w:szCs w:val="24"/>
                  <w:u w:val="single"/>
                  <w:lang w:eastAsia="pl-PL"/>
                </w:rPr>
                <w:t>(8)</w:t>
              </w:r>
            </w:hyperlink>
            <w:r w:rsidRPr="001C3273">
              <w:rPr>
                <w:rFonts w:ascii="Times New Roman" w:eastAsia="Times New Roman" w:hAnsi="Times New Roman" w:cs="Times New Roman"/>
                <w:sz w:val="24"/>
                <w:szCs w:val="24"/>
                <w:lang w:eastAsia="pl-PL"/>
              </w:rPr>
              <w:t xml:space="preserve"> The Parties agree that, by complying with this Clause, the data importer fulfils its obligations under Clause 8.8. The data importer shall ensure that the sub-processor </w:t>
            </w:r>
            <w:r w:rsidRPr="001C3273">
              <w:rPr>
                <w:rFonts w:ascii="Times New Roman" w:eastAsia="Times New Roman" w:hAnsi="Times New Roman" w:cs="Times New Roman"/>
                <w:sz w:val="24"/>
                <w:szCs w:val="24"/>
                <w:lang w:eastAsia="pl-PL"/>
              </w:rPr>
              <w:lastRenderedPageBreak/>
              <w:t>complies with the obligations to which the data importer is subject pursuant to these Clauses.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THREE: Transfer processor to processor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OPTION 1: SPECIFIC PRIOR AUTHORISATION The data importer shall not sub-contract any of its processing activities performed on behalf of the data exporter under these Clauses to a sub-processor without the prior specific written authorisation of the controller. The data importer shall submit the request for specific authorisation at least [Specify time period] prior to the engagement of the sub-processor, together with the information necessary to enable the controller to decide on the authorisation. It shall inform the data exporter of such engagement. The list of sub-processors already authorised by the controller can be found in Annex III. The Parties shall keep Annex III up to date.</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OPTION 2: GENERAL WRITTEN AUTHORISATION The data importer has the controller’s general authorisation for the engagement of sub-processor(s) from an agreed list. The data importer shall specifically inform the controller in writing of any intended changes to that list through the addition or replacement of sub-processors at least [Specify time period] in advance, thereby giving the controller sufficient time to be able to object to such changes prior to the engagement of the sub-processor(s). The data importer shall provide the controller with the information necessary to enable the controller to exercise its right to object. The data importer shall inform the data exporter of the engagement of the sub-processor(s).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the data importer engages a sub-processor to carry out specific processing activities (on behalf of the controller), it shall do so by way of a written contract that provides for, in substance, the same data protection obligations as those binding the data importer under these Clauses, including in terms of third-party beneficiary rights for data subjects. </w:t>
            </w:r>
            <w:hyperlink r:id="rId42" w:anchor="ntr9-L_2021199EN.01003701-E0009" w:history="1">
              <w:r w:rsidRPr="001C3273">
                <w:rPr>
                  <w:rFonts w:ascii="Times New Roman" w:eastAsia="Times New Roman" w:hAnsi="Times New Roman" w:cs="Times New Roman"/>
                  <w:color w:val="0000FF"/>
                  <w:sz w:val="24"/>
                  <w:szCs w:val="24"/>
                  <w:u w:val="single"/>
                  <w:lang w:eastAsia="pl-PL"/>
                </w:rPr>
                <w:t>(9)</w:t>
              </w:r>
            </w:hyperlink>
            <w:r w:rsidRPr="001C3273">
              <w:rPr>
                <w:rFonts w:ascii="Times New Roman" w:eastAsia="Times New Roman" w:hAnsi="Times New Roman" w:cs="Times New Roman"/>
                <w:sz w:val="24"/>
                <w:szCs w:val="24"/>
                <w:lang w:eastAsia="pl-PL"/>
              </w:rPr>
              <w:t xml:space="preserve"> The Parties agree that, by complying with this Clause, the data importer fulfils its obligations under Clause 8.8. The data importer shall ensure that the sub-processor complies with the obligations to which the data importer is subject pursuant to these Clauses.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provide, at the data exporter’s or controller’s request, a copy of such a sub-processor agreement and any subsequent amendments. To the extent necessary to protect business secrets or other confidential information, including personal data, the data importer may redact the text of the agreement prior to sharing a copy.</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(e)</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Clause 10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Data subject rights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ONE: Transfer controller to controller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w:t>
            </w:r>
            <w:hyperlink r:id="rId43" w:anchor="ntr10-L_2021199EN.01003701-E0010" w:history="1">
              <w:r w:rsidRPr="001C3273">
                <w:rPr>
                  <w:rFonts w:ascii="Times New Roman" w:eastAsia="Times New Roman" w:hAnsi="Times New Roman" w:cs="Times New Roman"/>
                  <w:color w:val="0000FF"/>
                  <w:sz w:val="24"/>
                  <w:szCs w:val="24"/>
                  <w:u w:val="single"/>
                  <w:lang w:eastAsia="pl-PL"/>
                </w:rPr>
                <w:t>(10)</w:t>
              </w:r>
            </w:hyperlink>
            <w:r w:rsidRPr="001C3273">
              <w:rPr>
                <w:rFonts w:ascii="Times New Roman" w:eastAsia="Times New Roman" w:hAnsi="Times New Roman" w:cs="Times New Roman"/>
                <w:sz w:val="24"/>
                <w:szCs w:val="24"/>
                <w:lang w:eastAsia="pl-PL"/>
              </w:rPr>
              <w:t xml:space="preserve"> The data importer shall take appropriate measures to facilitate such enquiries, requests and the exercise of data subject rights. Any information provided to the data subject shall be in an intelligible and easily accessible form, using clear and plain language.</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In particular, upon request by the data subject the data importer shall, free of charge:</w:t>
            </w:r>
          </w:p>
          <w:tbl>
            <w:tblPr>
              <w:tblW w:w="5000" w:type="pct"/>
              <w:tblCellSpacing w:w="0" w:type="dxa"/>
              <w:tblCellMar>
                <w:left w:w="0" w:type="dxa"/>
                <w:right w:w="0" w:type="dxa"/>
              </w:tblCellMar>
              <w:tblLook w:val="04A0" w:firstRow="1" w:lastRow="0" w:firstColumn="1" w:lastColumn="0" w:noHBand="0" w:noVBand="1"/>
            </w:tblPr>
            <w:tblGrid>
              <w:gridCol w:w="227"/>
              <w:gridCol w:w="8565"/>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12(c)(i);</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94"/>
              <w:gridCol w:w="8398"/>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rectify inaccurate or incomplete data concerning the data subject;</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432"/>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erase personal data concerning the data subject if such data is being or has been processed in violation of any of these Clauses ensuring third-party beneficiary rights, or if the data subject withdraws the consent on which the processing is based.</w:t>
                  </w:r>
                </w:p>
              </w:tc>
            </w:tr>
          </w:tbl>
          <w:p w:rsidR="001C3273" w:rsidRPr="001C3273" w:rsidRDefault="001C3273" w:rsidP="001C3273">
            <w:pPr>
              <w:spacing w:after="0" w:line="240" w:lineRule="auto"/>
              <w:rPr>
                <w:rFonts w:ascii="Times New Roman" w:eastAsia="Times New Roman" w:hAnsi="Times New Roman" w:cs="Times New Roman"/>
                <w:sz w:val="24"/>
                <w:szCs w:val="24"/>
                <w:lang w:eastAsia="pl-PL"/>
              </w:rPr>
            </w:pP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the data importer processes the personal data for direct marketing purposes, it shall cease processing for such purposes if the data subject objects to it.</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tbl>
            <w:tblPr>
              <w:tblW w:w="5000" w:type="pct"/>
              <w:tblCellSpacing w:w="0" w:type="dxa"/>
              <w:tblCellMar>
                <w:left w:w="0" w:type="dxa"/>
                <w:right w:w="0" w:type="dxa"/>
              </w:tblCellMar>
              <w:tblLook w:val="04A0" w:firstRow="1" w:lastRow="0" w:firstColumn="1" w:lastColumn="0" w:noHBand="0" w:noVBand="1"/>
            </w:tblPr>
            <w:tblGrid>
              <w:gridCol w:w="227"/>
              <w:gridCol w:w="8565"/>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inform the data subject about the envisaged automated decision, the envisaged consequences and the logic involved; and</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498"/>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implement suitable safeguards, at least by enabling the data subject to contest the decision, express his/her point of view and obtain review by a human being.</w:t>
                  </w:r>
                </w:p>
              </w:tc>
            </w:tr>
          </w:tbl>
          <w:p w:rsidR="001C3273" w:rsidRPr="001C3273" w:rsidRDefault="001C3273" w:rsidP="001C3273">
            <w:pPr>
              <w:spacing w:after="0" w:line="240" w:lineRule="auto"/>
              <w:rPr>
                <w:rFonts w:ascii="Times New Roman" w:eastAsia="Times New Roman" w:hAnsi="Times New Roman" w:cs="Times New Roman"/>
                <w:sz w:val="24"/>
                <w:szCs w:val="24"/>
                <w:lang w:eastAsia="pl-PL"/>
              </w:rPr>
            </w:pP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requests from a data subject are excessive, in particular because of their repetitive character, the data importer may either charge a reasonable fee taking into account the administrative costs of granting the request or refuse to act on the request.</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(f)</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may refuse a data subject’s request if such refusal is allowed under the laws of the country of destination and is necessary and proportionate in a democratic society to protect one of the objectives listed in Article 23(1) of Regulation (EU) 2016/679.</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(g)</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If the data importer intends to refuse a data subject’s request, it shall inform the data subject of the reasons for the refusal and the possibility of lodging a complaint with the competent supervisory authority and/or seeking judicial redress.</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TWO: Transfer controller to processor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promptly notify the data exporter of any request it has received from a data subject. It shall not respond to that request itself unless it has been authorised to do so by the data exporter.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taking into account the nature of the processing, by which the assistance shall be provided, as well as the scope and the extent of the assistance required.</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In fulfilling its obligations under paragraphs (a) and (b), the data importer shall comply with the instructions from the data exporter.</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THREE: Transfer processor to processor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promptly notify the data exporter and, where appropriate, the controller of any request it has received from a data subject, without responding to that request unless it has been authorised to do so by the controller.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assist, where appropriate in cooperation with the data exporter, the controller in fulfilling its obligations to respond to data subjects’ requests for the exercise of their rights under Regulation (EU) 2016/679 or Regulation (EU) 2018/1725, as applicable. In this regard, the Parties shall set out in Annex II the appropriate technical and organisational measures, taking into account the nature of the processing, by which the assistance shall be provided, as well as the scope and the extent of the assistance required.</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In fulfilling its obligations under paragraphs (a) and (b), the data importer shall comply with the instructions from the controller, as communicated by the data exporter.</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FOUR: Transfer processor to controller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Parties shall assist each other in responding to enquiries and requests made by data subjects under the local law applicable to the data importer or, for data processing by the data exporter in the EU, under Regulation (EU) 2016/679.</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Clause 11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Redress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inform data subjects in a transparent and easily accessible format, through individual notice or on its website, of a contact point authorised to handle complaints. It shall deal promptly with any complaints it receives from a data subject.</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[OPTION: The data importer agrees that data subjects may also lodge a complaint with an independent dispute resolution body </w:t>
            </w:r>
            <w:hyperlink r:id="rId44" w:anchor="ntr11-L_2021199EN.01003701-E0011" w:history="1">
              <w:r w:rsidRPr="001C3273">
                <w:rPr>
                  <w:rFonts w:ascii="Times New Roman" w:eastAsia="Times New Roman" w:hAnsi="Times New Roman" w:cs="Times New Roman"/>
                  <w:color w:val="0000FF"/>
                  <w:sz w:val="24"/>
                  <w:szCs w:val="24"/>
                  <w:u w:val="single"/>
                  <w:lang w:eastAsia="pl-PL"/>
                </w:rPr>
                <w:t>(11)</w:t>
              </w:r>
            </w:hyperlink>
            <w:r w:rsidRPr="001C3273">
              <w:rPr>
                <w:rFonts w:ascii="Times New Roman" w:eastAsia="Times New Roman" w:hAnsi="Times New Roman" w:cs="Times New Roman"/>
                <w:sz w:val="24"/>
                <w:szCs w:val="24"/>
                <w:lang w:eastAsia="pl-PL"/>
              </w:rPr>
              <w:t xml:space="preserve"> at no cost to the data subject. It shall inform the </w:t>
            </w:r>
            <w:r w:rsidRPr="001C3273">
              <w:rPr>
                <w:rFonts w:ascii="Times New Roman" w:eastAsia="Times New Roman" w:hAnsi="Times New Roman" w:cs="Times New Roman"/>
                <w:sz w:val="24"/>
                <w:szCs w:val="24"/>
                <w:lang w:eastAsia="pl-PL"/>
              </w:rPr>
              <w:lastRenderedPageBreak/>
              <w:t>data subjects, in the manner set out in paragraph (a), of such redress mechanism and that they are not required to use it, or follow a particular sequence in seeking redress.]</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 xml:space="preserve">MODULE ONE: Transfer controller to controller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TWO: Transfer controller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THREE: Transfer processor to processor </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the data subject invokes a third-party beneficiary right pursuant to Clause 3, the data importer shall accept the decision of the data subject to:</w:t>
            </w:r>
          </w:p>
          <w:tbl>
            <w:tblPr>
              <w:tblW w:w="5000" w:type="pct"/>
              <w:tblCellSpacing w:w="0" w:type="dxa"/>
              <w:tblCellMar>
                <w:left w:w="0" w:type="dxa"/>
                <w:right w:w="0" w:type="dxa"/>
              </w:tblCellMar>
              <w:tblLook w:val="04A0" w:firstRow="1" w:lastRow="0" w:firstColumn="1" w:lastColumn="0" w:noHBand="0" w:noVBand="1"/>
            </w:tblPr>
            <w:tblGrid>
              <w:gridCol w:w="227"/>
              <w:gridCol w:w="8578"/>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lodge a complaint with the supervisory authority in the Member State of his/her habitual residence or place of work, or the competent supervisory authority pursuant to Clause 13;</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50"/>
              <w:gridCol w:w="8455"/>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refer the dispute to the competent courts within the meaning of Clause 18.</w:t>
                  </w:r>
                </w:p>
              </w:tc>
            </w:tr>
          </w:tbl>
          <w:p w:rsidR="001C3273" w:rsidRPr="001C3273" w:rsidRDefault="001C3273" w:rsidP="001C3273">
            <w:pPr>
              <w:spacing w:after="0" w:line="240" w:lineRule="auto"/>
              <w:rPr>
                <w:rFonts w:ascii="Times New Roman" w:eastAsia="Times New Roman" w:hAnsi="Times New Roman" w:cs="Times New Roman"/>
                <w:sz w:val="24"/>
                <w:szCs w:val="24"/>
                <w:lang w:eastAsia="pl-PL"/>
              </w:rPr>
            </w:pP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Parties accept that the data subject may be represented by a not-for-profit body, organisation or association under the conditions set out in Article 80(1) of Regulation (EU) 2016/679.</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abide by a decision that is binding under the applicable EU or Member State law.</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(f)</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agrees that the choice made by the data subject will not prejudice his/her substantive and procedural rights to seek remedies in accordance with applicable laws.</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Clause 12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Liability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ONE: Transfer controller to controller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FOUR: Transfer processor to controller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Each Party shall be liable to the other Party/ies for any damages it causes the other Party/ies by any breach of these Clauses.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Parties agree that if one Party is held liable under paragraph (c), it shall be entitled to claim back from the other Party/ies that part of the compensation corresponding to its/their responsibility for the damage.</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may not invoke the conduct of a processor or sub-processor to avoid its own liability.</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 xml:space="preserve">MODULE TWO: Transfer controller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THREE: Transfer processor to processor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Each Party shall be liable to the other Party/ies for any damages it causes the other Party/ies by any breach of these Clauses.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(f)</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Parties agree that if one Party is held liable under paragraph (e), it shall be entitled to claim back from the other Party/ies that part of the compensation corresponding to its/their responsibility for the damage.</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2"/>
        <w:gridCol w:w="8790"/>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(g)</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may not invoke the conduct of a sub-processor to avoid its own liability.</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Clause 13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Supervision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ONE: Transfer controller to controller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TWO: Transfer controller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THREE: Transfer processor to processor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w:t>
            </w:r>
            <w:r w:rsidRPr="001C3273">
              <w:rPr>
                <w:rFonts w:ascii="Times New Roman" w:eastAsia="Times New Roman" w:hAnsi="Times New Roman" w:cs="Times New Roman"/>
                <w:sz w:val="24"/>
                <w:szCs w:val="24"/>
                <w:lang w:eastAsia="pl-PL"/>
              </w:rPr>
              <w:lastRenderedPageBreak/>
              <w:t>representative within the meaning of Article 27(1) of Regulation (EU) 2016/679 is established, as indicated in Annex I.C, shall act as competent supervisory authority.</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SECTION III – LOCAL LAWS AND OBLIGATIONS IN CASE OF ACCESS BY PUBLIC AUTHORITIES</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Clause 14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Local laws and practices affecting compliance with the Clauses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ONE: Transfer controller to controller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TWO: Transfer controller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THREE: Transfer processor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FOUR: Transfer processor to controller (where the EU processor combines the personal data received from the third country-controller with personal data collected by the processor in the EU)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Parties declare that in providing the warranty in paragraph (a), they have taken due account in particular of the following elements:</w:t>
            </w:r>
          </w:p>
          <w:tbl>
            <w:tblPr>
              <w:tblW w:w="5000" w:type="pct"/>
              <w:tblCellSpacing w:w="0" w:type="dxa"/>
              <w:tblCellMar>
                <w:left w:w="0" w:type="dxa"/>
                <w:right w:w="0" w:type="dxa"/>
              </w:tblCellMar>
              <w:tblLook w:val="04A0" w:firstRow="1" w:lastRow="0" w:firstColumn="1" w:lastColumn="0" w:noHBand="0" w:noVBand="1"/>
            </w:tblPr>
            <w:tblGrid>
              <w:gridCol w:w="227"/>
              <w:gridCol w:w="8565"/>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498"/>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 </w:t>
                  </w:r>
                  <w:hyperlink r:id="rId45" w:anchor="ntr12-L_2021199EN.01003701-E0012" w:history="1">
                    <w:r w:rsidRPr="001C3273">
                      <w:rPr>
                        <w:rFonts w:ascii="Times New Roman" w:eastAsia="Times New Roman" w:hAnsi="Times New Roman" w:cs="Times New Roman"/>
                        <w:color w:val="0000FF"/>
                        <w:sz w:val="24"/>
                        <w:szCs w:val="24"/>
                        <w:u w:val="single"/>
                        <w:lang w:eastAsia="pl-PL"/>
                      </w:rPr>
                      <w:t>(12)</w:t>
                    </w:r>
                  </w:hyperlink>
                  <w:r w:rsidRPr="001C3273">
                    <w:rPr>
                      <w:rFonts w:ascii="Times New Roman" w:eastAsia="Times New Roman" w:hAnsi="Times New Roman" w:cs="Times New Roman"/>
                      <w:sz w:val="24"/>
                      <w:szCs w:val="24"/>
                      <w:lang w:eastAsia="pl-PL"/>
                    </w:rPr>
                    <w:t>;</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432"/>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any relevant contractual, technical or organisational safeguards put in place to supplement the safeguards under these Clauses, including measures applied during transmission and to the processing of the personal data in the country of destination.</w:t>
                  </w:r>
                </w:p>
              </w:tc>
            </w:tr>
          </w:tbl>
          <w:p w:rsidR="001C3273" w:rsidRPr="001C3273" w:rsidRDefault="001C3273" w:rsidP="001C3273">
            <w:pPr>
              <w:spacing w:after="0" w:line="240" w:lineRule="auto"/>
              <w:rPr>
                <w:rFonts w:ascii="Times New Roman" w:eastAsia="Times New Roman" w:hAnsi="Times New Roman" w:cs="Times New Roman"/>
                <w:sz w:val="24"/>
                <w:szCs w:val="24"/>
                <w:lang w:eastAsia="pl-PL"/>
              </w:rPr>
            </w:pP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Parties agree to document the assessment under paragraph (b) and make it available to the competent supervisory authority on request.</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[For Module Three: The data exporter shall forward the notification to the controller.]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(f)</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[for Module Three:, if appropriate in consultation with the controller]. The data exporter shall suspend the data transfer if it considers that no appropriate safeguards for such transfer can be ensured, or if instructed by [for Module Three: the controller or]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Clause 15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Obligations of the data importer in case of access by public authorities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ONE: Transfer controller to controller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TWO: Transfer controller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THREE: Transfer processor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FOUR: Transfer processor to controller (where the EU processor combines the personal data received from the third country-controller with personal data collected by the processor in the EU)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15.1   Notification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agrees to notify the data exporter and, where possible, the data subject promptly (if necessary with the help of the data exporter) if it:</w:t>
            </w:r>
          </w:p>
          <w:tbl>
            <w:tblPr>
              <w:tblW w:w="5000" w:type="pct"/>
              <w:tblCellSpacing w:w="0" w:type="dxa"/>
              <w:tblCellMar>
                <w:left w:w="0" w:type="dxa"/>
                <w:right w:w="0" w:type="dxa"/>
              </w:tblCellMar>
              <w:tblLook w:val="04A0" w:firstRow="1" w:lastRow="0" w:firstColumn="1" w:lastColumn="0" w:noHBand="0" w:noVBand="1"/>
            </w:tblPr>
            <w:tblGrid>
              <w:gridCol w:w="227"/>
              <w:gridCol w:w="8578"/>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11"/>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becomes aware of any direct access by public authorities to personal data transferred pursuant to these Clauses in accordance with the laws of the country of destination; such notification shall include all information available to the importer.</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[For Module Three: The data exporter shall forward the notification to the controller.]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[For Module Three: The data exporter shall forward the information to the controller.]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agrees to preserve the information pursuant to paragraphs (a) to (c) for the duration of the contract and make it available to the competent supervisory authority on request.</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Paragraphs (a) to (c) are without prejudice to the obligation of the data importer pursuant to Clause 14(e) and Clause 16 to inform the data exporter promptly where it is unable to comply with these Clauses.</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15.2   Review of legality and data minimisation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[For Module Three: The data exporter shall make the assessment available to the controller.]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agrees to provide the minimum amount of information permissible when responding to a request for disclosure, based on a reasonable interpretation of the request.</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SECTION IV – FINAL PROVISIONS</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Clause 16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Non-compliance with the Clauses and termination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shall promptly inform the data exporter if it is unable to comply with these Clauses, for whatever reason.</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exporter shall be entitled to terminate the contract, insofar as it concerns the processing of personal data under these Clauses, where:</w:t>
            </w:r>
          </w:p>
          <w:tbl>
            <w:tblPr>
              <w:tblW w:w="5000" w:type="pct"/>
              <w:tblCellSpacing w:w="0" w:type="dxa"/>
              <w:tblCellMar>
                <w:left w:w="0" w:type="dxa"/>
                <w:right w:w="0" w:type="dxa"/>
              </w:tblCellMar>
              <w:tblLook w:val="04A0" w:firstRow="1" w:lastRow="0" w:firstColumn="1" w:lastColumn="0" w:noHBand="0" w:noVBand="1"/>
            </w:tblPr>
            <w:tblGrid>
              <w:gridCol w:w="227"/>
              <w:gridCol w:w="8578"/>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exporter has suspended the transfer of personal data to the data importer pursuant to paragraph (b) and compliance with these Clauses is not restored within a reasonable time and in any event within one month of suspension;</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51"/>
              <w:gridCol w:w="8454"/>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is in substantial or persistent breach of these Clauses; or</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445"/>
            </w:tblGrid>
            <w:tr w:rsidR="001C3273" w:rsidRP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(iii)</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data importer fails to comply with a binding decision of a competent court or supervisory authority regarding its obligations under these Clauses.</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In these cases, it shall inform the competent supervisory authority [for Module Three: and the controller] of such non-compliance. Where the contract involves more than two Parties, the data exporter may exercise this right to termination only with respect to the relevant Party, unless the Parties have agreed otherwise.</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[For Modules One, Two and Three: Personal data that has been transferred prior to the termination of the contract pursuant to paragraph (c) shall at the choice of the data exporter immediately be returned to the data exporter or deleted in its entirety. The same shall apply to any copies of the data.] [For Module Four: Personal data collected by the data exporter in the EU that has been transferred prior to the termination of the contract pursuant to paragraph (c) shall immediately be deleted in its entirety, including any copy thereof.]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Clause 17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 xml:space="preserve">Governing law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ONE: Transfer controller to controller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TWO: Transfer controller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THREE: Transfer processor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[OPTION 1: These Clauses shall be governed by the law of one of the EU Member States, provided such law allows for third-party beneficiary rights. The Parties agree that this shall be the law of _______ (specify Member State).]</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[OPTION 2 (for Modules Two and Three): 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_______ (specify Member State).]</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FOUR: Transfer processor to controller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These Clauses shall be governed by the law of a country allowing for third-party beneficiary rights. The Parties agree that this shall be the law of _______ (specify country).</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Clause 18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Choice of forum and jurisdiction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ONE: Transfer controller to controller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TWO: Transfer controller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THREE: Transfer processor to processor </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Any dispute arising from these Clauses shall be resolved by the courts of an EU Member State.</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16"/>
        <w:gridCol w:w="8756"/>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(b)</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Parties agree that those shall be the courts of _____ (specify Member State).</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 data subject may also bring legal proceedings against the data exporter and/or data importer before the courts of the Member State in which he/she has his/her habitual residence.</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50"/>
        <w:gridCol w:w="872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Parties agree to submit themselves to the jurisdiction of such courts.</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FOUR: Transfer processor to controller </w:t>
      </w: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1C3273" w:rsidRPr="001C3273" w:rsidTr="001C3273">
        <w:trPr>
          <w:tblCellSpacing w:w="0" w:type="dxa"/>
        </w:trPr>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w:t>
            </w: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Any dispute arising from these Clauses shall be resolved by the courts of _____ (specify country).</w:t>
            </w:r>
          </w:p>
        </w:tc>
      </w:tr>
    </w:tbl>
    <w:p w:rsidR="001C3273" w:rsidRPr="001C3273" w:rsidRDefault="001C3273" w:rsidP="001C3273">
      <w:pPr>
        <w:spacing w:after="0"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pict>
          <v:rect id="_x0000_i1045" style="width:0;height:1.5pt" o:hralign="center" o:hrstd="t" o:hr="t" fillcolor="#a0a0a0" stroked="f"/>
        </w:pic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46" w:anchor="ntc1-L_2021199EN.01003701-E0001" w:history="1">
        <w:r w:rsidRPr="001C3273">
          <w:rPr>
            <w:rFonts w:ascii="Times New Roman" w:eastAsia="Times New Roman" w:hAnsi="Times New Roman" w:cs="Times New Roman"/>
            <w:color w:val="0000FF"/>
            <w:sz w:val="24"/>
            <w:szCs w:val="24"/>
            <w:u w:val="single"/>
            <w:lang w:eastAsia="pl-PL"/>
          </w:rPr>
          <w:t>(1)</w:t>
        </w:r>
      </w:hyperlink>
      <w:r w:rsidRPr="001C3273">
        <w:rPr>
          <w:rFonts w:ascii="Times New Roman" w:eastAsia="Times New Roman" w:hAnsi="Times New Roman" w:cs="Times New Roman"/>
          <w:sz w:val="24"/>
          <w:szCs w:val="24"/>
          <w:lang w:eastAsia="pl-PL"/>
        </w:rPr>
        <w:t xml:space="preserve">  Where the data exporter is a processor subject to Regulation (EU) 2016/679 acting on behalf of a Union institution or body as controller, reliance on these Clauses when engaging another processor (sub-processing) not subject to Regulation (EU) 2016/679 also ensures </w:t>
      </w:r>
      <w:r w:rsidRPr="001C3273">
        <w:rPr>
          <w:rFonts w:ascii="Times New Roman" w:eastAsia="Times New Roman" w:hAnsi="Times New Roman" w:cs="Times New Roman"/>
          <w:sz w:val="24"/>
          <w:szCs w:val="24"/>
          <w:lang w:eastAsia="pl-PL"/>
        </w:rPr>
        <w:lastRenderedPageBreak/>
        <w:t>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hyperlink r:id="rId47" w:history="1">
        <w:r w:rsidRPr="001C3273">
          <w:rPr>
            <w:rFonts w:ascii="Times New Roman" w:eastAsia="Times New Roman" w:hAnsi="Times New Roman" w:cs="Times New Roman"/>
            <w:color w:val="0000FF"/>
            <w:sz w:val="24"/>
            <w:szCs w:val="24"/>
            <w:u w:val="single"/>
            <w:lang w:eastAsia="pl-PL"/>
          </w:rPr>
          <w:t>OJ L 295, 21.11.2018, p. 39</w:t>
        </w:r>
      </w:hyperlink>
      <w:r w:rsidRPr="001C3273">
        <w:rPr>
          <w:rFonts w:ascii="Times New Roman" w:eastAsia="Times New Roman" w:hAnsi="Times New Roman" w:cs="Times New Roman"/>
          <w:sz w:val="24"/>
          <w:szCs w:val="24"/>
          <w:lang w:eastAsia="pl-PL"/>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48" w:anchor="ntc2-L_2021199EN.01003701-E0002" w:history="1">
        <w:r w:rsidRPr="001C3273">
          <w:rPr>
            <w:rFonts w:ascii="Times New Roman" w:eastAsia="Times New Roman" w:hAnsi="Times New Roman" w:cs="Times New Roman"/>
            <w:color w:val="0000FF"/>
            <w:sz w:val="24"/>
            <w:szCs w:val="24"/>
            <w:u w:val="single"/>
            <w:lang w:eastAsia="pl-PL"/>
          </w:rPr>
          <w:t>(2)</w:t>
        </w:r>
      </w:hyperlink>
      <w:r w:rsidRPr="001C3273">
        <w:rPr>
          <w:rFonts w:ascii="Times New Roman" w:eastAsia="Times New Roman" w:hAnsi="Times New Roman" w:cs="Times New Roman"/>
          <w:sz w:val="24"/>
          <w:szCs w:val="24"/>
          <w:lang w:eastAsia="pl-PL"/>
        </w:rPr>
        <w:t>  This requires rendering the data anonymous in such a way that the individual is no longer identifiable by anyone, in line with recital 26 of Regulation (EU) 2016/679, and that this process is irreversible.</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49" w:anchor="ntc3-L_2021199EN.01003701-E0003" w:history="1">
        <w:r w:rsidRPr="001C3273">
          <w:rPr>
            <w:rFonts w:ascii="Times New Roman" w:eastAsia="Times New Roman" w:hAnsi="Times New Roman" w:cs="Times New Roman"/>
            <w:color w:val="0000FF"/>
            <w:sz w:val="24"/>
            <w:szCs w:val="24"/>
            <w:u w:val="single"/>
            <w:lang w:eastAsia="pl-PL"/>
          </w:rPr>
          <w:t>(3)</w:t>
        </w:r>
      </w:hyperlink>
      <w:r w:rsidRPr="001C3273">
        <w:rPr>
          <w:rFonts w:ascii="Times New Roman" w:eastAsia="Times New Roman" w:hAnsi="Times New Roman" w:cs="Times New Roman"/>
          <w:sz w:val="24"/>
          <w:szCs w:val="24"/>
          <w:lang w:eastAsia="pl-PL"/>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50" w:anchor="ntc4-L_2021199EN.01003701-E0004" w:history="1">
        <w:r w:rsidRPr="001C3273">
          <w:rPr>
            <w:rFonts w:ascii="Times New Roman" w:eastAsia="Times New Roman" w:hAnsi="Times New Roman" w:cs="Times New Roman"/>
            <w:color w:val="0000FF"/>
            <w:sz w:val="24"/>
            <w:szCs w:val="24"/>
            <w:u w:val="single"/>
            <w:lang w:eastAsia="pl-PL"/>
          </w:rPr>
          <w:t>(4)</w:t>
        </w:r>
      </w:hyperlink>
      <w:r w:rsidRPr="001C3273">
        <w:rPr>
          <w:rFonts w:ascii="Times New Roman" w:eastAsia="Times New Roman" w:hAnsi="Times New Roman" w:cs="Times New Roman"/>
          <w:sz w:val="24"/>
          <w:szCs w:val="24"/>
          <w:lang w:eastAsia="pl-PL"/>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51" w:anchor="ntc5-L_2021199EN.01003701-E0005" w:history="1">
        <w:r w:rsidRPr="001C3273">
          <w:rPr>
            <w:rFonts w:ascii="Times New Roman" w:eastAsia="Times New Roman" w:hAnsi="Times New Roman" w:cs="Times New Roman"/>
            <w:color w:val="0000FF"/>
            <w:sz w:val="24"/>
            <w:szCs w:val="24"/>
            <w:u w:val="single"/>
            <w:lang w:eastAsia="pl-PL"/>
          </w:rPr>
          <w:t>(5)</w:t>
        </w:r>
      </w:hyperlink>
      <w:r w:rsidRPr="001C3273">
        <w:rPr>
          <w:rFonts w:ascii="Times New Roman" w:eastAsia="Times New Roman" w:hAnsi="Times New Roman" w:cs="Times New Roman"/>
          <w:sz w:val="24"/>
          <w:szCs w:val="24"/>
          <w:lang w:eastAsia="pl-PL"/>
        </w:rPr>
        <w:t>  See Article 28(4) of Regulation (EU) 2016/679 and, where the controller is an EU institution or body, Article 29(4) of Regulation (EU) 2018/1725.</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52" w:anchor="ntc6-L_2021199EN.01003701-E0006" w:history="1">
        <w:r w:rsidRPr="001C3273">
          <w:rPr>
            <w:rFonts w:ascii="Times New Roman" w:eastAsia="Times New Roman" w:hAnsi="Times New Roman" w:cs="Times New Roman"/>
            <w:color w:val="0000FF"/>
            <w:sz w:val="24"/>
            <w:szCs w:val="24"/>
            <w:u w:val="single"/>
            <w:lang w:eastAsia="pl-PL"/>
          </w:rPr>
          <w:t>(6)</w:t>
        </w:r>
      </w:hyperlink>
      <w:r w:rsidRPr="001C3273">
        <w:rPr>
          <w:rFonts w:ascii="Times New Roman" w:eastAsia="Times New Roman" w:hAnsi="Times New Roman" w:cs="Times New Roman"/>
          <w:sz w:val="24"/>
          <w:szCs w:val="24"/>
          <w:lang w:eastAsia="pl-PL"/>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purposes of these Clauses.</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53" w:anchor="ntc7-L_2021199EN.01003701-E0007" w:history="1">
        <w:r w:rsidRPr="001C3273">
          <w:rPr>
            <w:rFonts w:ascii="Times New Roman" w:eastAsia="Times New Roman" w:hAnsi="Times New Roman" w:cs="Times New Roman"/>
            <w:color w:val="0000FF"/>
            <w:sz w:val="24"/>
            <w:szCs w:val="24"/>
            <w:u w:val="single"/>
            <w:lang w:eastAsia="pl-PL"/>
          </w:rPr>
          <w:t>(7)</w:t>
        </w:r>
      </w:hyperlink>
      <w:r w:rsidRPr="001C3273">
        <w:rPr>
          <w:rFonts w:ascii="Times New Roman" w:eastAsia="Times New Roman" w:hAnsi="Times New Roman" w:cs="Times New Roman"/>
          <w:sz w:val="24"/>
          <w:szCs w:val="24"/>
          <w:lang w:eastAsia="pl-PL"/>
        </w:rPr>
        <w:t>  This includes whether the transfer and further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54" w:anchor="ntc8-L_2021199EN.01003701-E0008" w:history="1">
        <w:r w:rsidRPr="001C3273">
          <w:rPr>
            <w:rFonts w:ascii="Times New Roman" w:eastAsia="Times New Roman" w:hAnsi="Times New Roman" w:cs="Times New Roman"/>
            <w:color w:val="0000FF"/>
            <w:sz w:val="24"/>
            <w:szCs w:val="24"/>
            <w:u w:val="single"/>
            <w:lang w:eastAsia="pl-PL"/>
          </w:rPr>
          <w:t>(8)</w:t>
        </w:r>
      </w:hyperlink>
      <w:r w:rsidRPr="001C3273">
        <w:rPr>
          <w:rFonts w:ascii="Times New Roman" w:eastAsia="Times New Roman" w:hAnsi="Times New Roman" w:cs="Times New Roman"/>
          <w:sz w:val="24"/>
          <w:szCs w:val="24"/>
          <w:lang w:eastAsia="pl-PL"/>
        </w:rPr>
        <w:t>  This requirement may be satisfied by the sub-processor acceding to these Clauses under the appropriate Module, in accordance with Clause 7.</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55" w:anchor="ntc9-L_2021199EN.01003701-E0009" w:history="1">
        <w:r w:rsidRPr="001C3273">
          <w:rPr>
            <w:rFonts w:ascii="Times New Roman" w:eastAsia="Times New Roman" w:hAnsi="Times New Roman" w:cs="Times New Roman"/>
            <w:color w:val="0000FF"/>
            <w:sz w:val="24"/>
            <w:szCs w:val="24"/>
            <w:u w:val="single"/>
            <w:lang w:eastAsia="pl-PL"/>
          </w:rPr>
          <w:t>(9)</w:t>
        </w:r>
      </w:hyperlink>
      <w:r w:rsidRPr="001C3273">
        <w:rPr>
          <w:rFonts w:ascii="Times New Roman" w:eastAsia="Times New Roman" w:hAnsi="Times New Roman" w:cs="Times New Roman"/>
          <w:sz w:val="24"/>
          <w:szCs w:val="24"/>
          <w:lang w:eastAsia="pl-PL"/>
        </w:rPr>
        <w:t>  This requirement may be satisfied by the sub-processor acceding to these Clauses under the appropriate Module, in accordance with Clause 7.</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56" w:anchor="ntc10-L_2021199EN.01003701-E0010" w:history="1">
        <w:r w:rsidRPr="001C3273">
          <w:rPr>
            <w:rFonts w:ascii="Times New Roman" w:eastAsia="Times New Roman" w:hAnsi="Times New Roman" w:cs="Times New Roman"/>
            <w:color w:val="0000FF"/>
            <w:sz w:val="24"/>
            <w:szCs w:val="24"/>
            <w:u w:val="single"/>
            <w:lang w:eastAsia="pl-PL"/>
          </w:rPr>
          <w:t>(10)</w:t>
        </w:r>
      </w:hyperlink>
      <w:r w:rsidRPr="001C3273">
        <w:rPr>
          <w:rFonts w:ascii="Times New Roman" w:eastAsia="Times New Roman" w:hAnsi="Times New Roman" w:cs="Times New Roman"/>
          <w:sz w:val="24"/>
          <w:szCs w:val="24"/>
          <w:lang w:eastAsia="pl-PL"/>
        </w:rPr>
        <w:t>  That period may be extended by a maximum of two more months, to the extent necessary taking into account the complexity and number of requests. The data importer shall duly and promptly inform the data subject of any such extension.</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57" w:anchor="ntc11-L_2021199EN.01003701-E0011" w:history="1">
        <w:r w:rsidRPr="001C3273">
          <w:rPr>
            <w:rFonts w:ascii="Times New Roman" w:eastAsia="Times New Roman" w:hAnsi="Times New Roman" w:cs="Times New Roman"/>
            <w:color w:val="0000FF"/>
            <w:sz w:val="24"/>
            <w:szCs w:val="24"/>
            <w:u w:val="single"/>
            <w:lang w:eastAsia="pl-PL"/>
          </w:rPr>
          <w:t>(11)</w:t>
        </w:r>
      </w:hyperlink>
      <w:r w:rsidRPr="001C3273">
        <w:rPr>
          <w:rFonts w:ascii="Times New Roman" w:eastAsia="Times New Roman" w:hAnsi="Times New Roman" w:cs="Times New Roman"/>
          <w:sz w:val="24"/>
          <w:szCs w:val="24"/>
          <w:lang w:eastAsia="pl-PL"/>
        </w:rPr>
        <w:t>  The data importer may offer independent dispute resolution through an arbitration body only if it is established in a country that has ratified the New York Convention on Enforcement of Arbitration Awards.</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hyperlink r:id="rId58" w:anchor="ntc12-L_2021199EN.01003701-E0012" w:history="1">
        <w:r w:rsidRPr="001C3273">
          <w:rPr>
            <w:rFonts w:ascii="Times New Roman" w:eastAsia="Times New Roman" w:hAnsi="Times New Roman" w:cs="Times New Roman"/>
            <w:color w:val="0000FF"/>
            <w:sz w:val="24"/>
            <w:szCs w:val="24"/>
            <w:u w:val="single"/>
            <w:lang w:eastAsia="pl-PL"/>
          </w:rPr>
          <w:t>(12)</w:t>
        </w:r>
      </w:hyperlink>
      <w:r w:rsidRPr="001C3273">
        <w:rPr>
          <w:rFonts w:ascii="Times New Roman" w:eastAsia="Times New Roman" w:hAnsi="Times New Roman" w:cs="Times New Roman"/>
          <w:sz w:val="24"/>
          <w:szCs w:val="24"/>
          <w:lang w:eastAsia="pl-PL"/>
        </w:rPr>
        <w:t>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p w:rsidR="001C3273" w:rsidRPr="001C3273" w:rsidRDefault="001C3273" w:rsidP="001C3273">
      <w:pPr>
        <w:spacing w:after="0"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pict>
          <v:rect id="_x0000_i1046" style="width:0;height:1.5pt" o:hralign="center" o:hrstd="t" o:hr="t" fillcolor="#a0a0a0" stroked="f"/>
        </w:pic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APPENDIX</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EXPLANATORY NOTE:</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p w:rsidR="001C3273" w:rsidRPr="001C3273" w:rsidRDefault="001C3273" w:rsidP="001C3273">
      <w:pPr>
        <w:spacing w:after="0"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pict>
          <v:rect id="_x0000_i1047" style="width:0;height:1.5pt" o:hralign="center" o:hrstd="t" o:hr="t" fillcolor="#a0a0a0" stroked="f"/>
        </w:pic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ANNEX I</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A.   LIST OF PARTIES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ONE: Transfer controller to controller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TWO: Transfer controller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THREE: Transfer processor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 xml:space="preserve">MODULE FOUR: Transfer processor to controller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Data exporter(s): [Identity and contact details of the data exporter(s) and, where applicable, of its/their data protection officer and/or representative in the European Union] </w:t>
      </w:r>
    </w:p>
    <w:tbl>
      <w:tblPr>
        <w:tblW w:w="5000" w:type="pct"/>
        <w:tblCellSpacing w:w="0" w:type="dxa"/>
        <w:tblCellMar>
          <w:left w:w="0" w:type="dxa"/>
          <w:right w:w="0" w:type="dxa"/>
        </w:tblCellMar>
        <w:tblLook w:val="04A0" w:firstRow="1" w:lastRow="0" w:firstColumn="1" w:lastColumn="0" w:noHBand="0" w:noVBand="1"/>
      </w:tblPr>
      <w:tblGrid>
        <w:gridCol w:w="9"/>
        <w:gridCol w:w="253"/>
        <w:gridCol w:w="8810"/>
      </w:tblGrid>
      <w:tr w:rsidR="001C3273" w:rsidRPr="001C3273" w:rsidTr="001C3273">
        <w:trPr>
          <w:tblCellSpacing w:w="0" w:type="dxa"/>
        </w:trPr>
        <w:tc>
          <w:tcPr>
            <w:tcW w:w="0" w:type="auto"/>
            <w:hideMark/>
          </w:tcPr>
          <w:p w:rsidR="001C3273" w:rsidRPr="001C3273" w:rsidRDefault="001C3273" w:rsidP="001C3273">
            <w:pPr>
              <w:spacing w:after="0" w:line="240" w:lineRule="auto"/>
              <w:rPr>
                <w:rFonts w:ascii="Times New Roman" w:eastAsia="Times New Roman" w:hAnsi="Times New Roman" w:cs="Times New Roman"/>
                <w:sz w:val="24"/>
                <w:szCs w:val="24"/>
                <w:lang w:eastAsia="pl-PL"/>
              </w:rPr>
            </w:pP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1.</w:t>
            </w:r>
          </w:p>
        </w:tc>
        <w:tc>
          <w:tcPr>
            <w:tcW w:w="0" w:type="auto"/>
            <w:hideMark/>
          </w:tcPr>
          <w:p w:rsidR="001C3273" w:rsidRPr="001C3273" w:rsidRDefault="001C3273" w:rsidP="001C3273">
            <w:pPr>
              <w:spacing w:after="0"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Name: …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Address: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Contact person’s name, position and contact details: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Activities relevant to the data transferred under these Clauses: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Signature and date: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Role (controller/processor): …</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28"/>
        <w:gridCol w:w="3833"/>
        <w:gridCol w:w="5111"/>
      </w:tblGrid>
      <w:tr w:rsidR="001C3273" w:rsidRPr="001C3273" w:rsidTr="001C3273">
        <w:trPr>
          <w:tblCellSpacing w:w="0" w:type="dxa"/>
        </w:trPr>
        <w:tc>
          <w:tcPr>
            <w:tcW w:w="0" w:type="auto"/>
            <w:hideMark/>
          </w:tcPr>
          <w:p w:rsidR="001C3273" w:rsidRPr="001C3273" w:rsidRDefault="001C3273" w:rsidP="001C3273">
            <w:pPr>
              <w:spacing w:after="0" w:line="240" w:lineRule="auto"/>
              <w:rPr>
                <w:rFonts w:ascii="Times New Roman" w:eastAsia="Times New Roman" w:hAnsi="Times New Roman" w:cs="Times New Roman"/>
                <w:sz w:val="24"/>
                <w:szCs w:val="24"/>
                <w:lang w:eastAsia="pl-PL"/>
              </w:rPr>
            </w:pP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2.</w:t>
            </w:r>
          </w:p>
        </w:tc>
        <w:tc>
          <w:tcPr>
            <w:tcW w:w="0" w:type="auto"/>
            <w:hideMark/>
          </w:tcPr>
          <w:p w:rsidR="001C3273" w:rsidRPr="001C3273" w:rsidRDefault="001C3273" w:rsidP="001C3273">
            <w:pPr>
              <w:spacing w:after="0"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 </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Data importer(s): [Identity and contact details of the data importer(s), including any contact person with responsibility for data protection] </w:t>
      </w:r>
    </w:p>
    <w:tbl>
      <w:tblPr>
        <w:tblW w:w="5000" w:type="pct"/>
        <w:tblCellSpacing w:w="0" w:type="dxa"/>
        <w:tblCellMar>
          <w:left w:w="0" w:type="dxa"/>
          <w:right w:w="0" w:type="dxa"/>
        </w:tblCellMar>
        <w:tblLook w:val="04A0" w:firstRow="1" w:lastRow="0" w:firstColumn="1" w:lastColumn="0" w:noHBand="0" w:noVBand="1"/>
      </w:tblPr>
      <w:tblGrid>
        <w:gridCol w:w="9"/>
        <w:gridCol w:w="253"/>
        <w:gridCol w:w="8810"/>
      </w:tblGrid>
      <w:tr w:rsidR="001C3273" w:rsidRPr="001C3273" w:rsidTr="001C3273">
        <w:trPr>
          <w:tblCellSpacing w:w="0" w:type="dxa"/>
        </w:trPr>
        <w:tc>
          <w:tcPr>
            <w:tcW w:w="0" w:type="auto"/>
            <w:hideMark/>
          </w:tcPr>
          <w:p w:rsidR="001C3273" w:rsidRPr="001C3273" w:rsidRDefault="001C3273" w:rsidP="001C3273">
            <w:pPr>
              <w:spacing w:after="0" w:line="240" w:lineRule="auto"/>
              <w:rPr>
                <w:rFonts w:ascii="Times New Roman" w:eastAsia="Times New Roman" w:hAnsi="Times New Roman" w:cs="Times New Roman"/>
                <w:sz w:val="24"/>
                <w:szCs w:val="24"/>
                <w:lang w:eastAsia="pl-PL"/>
              </w:rPr>
            </w:pP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1.</w:t>
            </w:r>
          </w:p>
        </w:tc>
        <w:tc>
          <w:tcPr>
            <w:tcW w:w="0" w:type="auto"/>
            <w:hideMark/>
          </w:tcPr>
          <w:p w:rsidR="001C3273" w:rsidRPr="001C3273" w:rsidRDefault="001C3273" w:rsidP="001C3273">
            <w:pPr>
              <w:spacing w:after="0"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Name: …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Address: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Contact person’s name, position and contact details: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Activities relevant to the data transferred under these Clauses: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Signature and date: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Role (controller/processor): …</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28"/>
        <w:gridCol w:w="3833"/>
        <w:gridCol w:w="5111"/>
      </w:tblGrid>
      <w:tr w:rsidR="001C3273" w:rsidRPr="001C3273" w:rsidTr="001C3273">
        <w:trPr>
          <w:tblCellSpacing w:w="0" w:type="dxa"/>
        </w:trPr>
        <w:tc>
          <w:tcPr>
            <w:tcW w:w="0" w:type="auto"/>
            <w:hideMark/>
          </w:tcPr>
          <w:p w:rsidR="001C3273" w:rsidRPr="001C3273" w:rsidRDefault="001C3273" w:rsidP="001C3273">
            <w:pPr>
              <w:spacing w:after="0" w:line="240" w:lineRule="auto"/>
              <w:rPr>
                <w:rFonts w:ascii="Times New Roman" w:eastAsia="Times New Roman" w:hAnsi="Times New Roman" w:cs="Times New Roman"/>
                <w:sz w:val="24"/>
                <w:szCs w:val="24"/>
                <w:lang w:eastAsia="pl-PL"/>
              </w:rPr>
            </w:pP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2.</w:t>
            </w:r>
          </w:p>
        </w:tc>
        <w:tc>
          <w:tcPr>
            <w:tcW w:w="0" w:type="auto"/>
            <w:hideMark/>
          </w:tcPr>
          <w:p w:rsidR="001C3273" w:rsidRPr="001C3273" w:rsidRDefault="001C3273" w:rsidP="001C3273">
            <w:pPr>
              <w:spacing w:after="0"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 </w:t>
            </w:r>
          </w:p>
        </w:tc>
      </w:tr>
    </w:tbl>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B.   DESCRIPTION OF TRANSFER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ONE: Transfer controller to controller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TWO: Transfer controller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THREE: Transfer processor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FOUR: Transfer processor to controller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Categories of data subjects whose personal data is transferred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Categories of personal data transferred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 xml:space="preserve">…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The frequency of the transfer (e.g. whether the data is transferred on a one-off or continuous basis).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Nature of the processing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Purpose(s) of the data transfer and further processing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The period for which the personal data will be retained, or, if that is not possible, the criteria used to determine that period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For transfers to (sub-) processors, also specify subject matter, nature and duration of the processing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C.   COMPETENT SUPERVISORY AUTHORITY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ONE: Transfer controller to controller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TWO: Transfer controller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THREE: Transfer processor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Identify the competent supervisory authority/ies in accordance with Clause 13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 </w:t>
      </w:r>
    </w:p>
    <w:p w:rsidR="001C3273" w:rsidRPr="001C3273" w:rsidRDefault="001C3273" w:rsidP="001C3273">
      <w:pPr>
        <w:spacing w:after="0"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pict>
          <v:rect id="_x0000_i1048" style="width:0;height:1.5pt" o:hralign="center" o:hrstd="t" o:hr="t" fillcolor="#a0a0a0" stroked="f"/>
        </w:pic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ANNEX II</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 xml:space="preserve">TECHNICAL AND ORGANISATIONAL MEASURES INCLUDING TECHNICAL AND ORGANISATIONAL MEASURES TO ENSURE THE SECURITY OF THE DATA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ONE: Transfer controller to controller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TWO: Transfer controller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THREE: Transfer processor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EXPLANATORY NOTE:</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technical and organisational measures must be described in specific (and not generic) terms. See also the general comment on the first page of the Appendix, in particular on the need to clearly indicate which measures apply to each transfer/set of transfers.</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[Examples of possible measures: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Measures of pseudonymisation and encryption of personal data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Measures for ensuring ongoing confidentiality, integrity, availability and resilience of processing systems and services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Measures for ensuring the ability to restore the availability and access to personal data in a timely manner in the event of a physical or technical incident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Processes for regularly testing, assessing and evaluating the effectiveness of technical and organisational measures in order to ensure the security of the processing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Measures for user identification and authorisation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Measures for the protection of data during transmission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Measures for the protection of data during storage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Measures for ensuring physical security of locations at which personal data are processed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Measures for ensuring events logging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Measures for ensuring system configuration, including default configuration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Measures for internal IT and IT security governance and management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Measures for certification/assurance of processes and products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Measures for ensuring data minimisation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lastRenderedPageBreak/>
        <w:t xml:space="preserve">Measures for ensuring data quality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Measures for ensuring limited data retention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Measures for ensuring accountability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Measures for allowing data portability and ensuring erasure]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For transfers to (sub-) processors, also describe the specific technical and organisational measures to be taken by the (sub-) processor to be able to provide assistance to the controller and, for transfers from a processor to a sub-processor, to the data exporter </w:t>
      </w:r>
    </w:p>
    <w:p w:rsidR="001C3273" w:rsidRPr="001C3273" w:rsidRDefault="001C3273" w:rsidP="001C3273">
      <w:pPr>
        <w:spacing w:after="0"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pict>
          <v:rect id="_x0000_i1049" style="width:0;height:1.5pt" o:hralign="center" o:hrstd="t" o:hr="t" fillcolor="#a0a0a0" stroked="f"/>
        </w:pic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ANNEX III</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LIST OF SUB-PROCESSORS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TWO: Transfer controller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MODULE THREE: Transfer processor to processor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EXPLANATORY NOTE:</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This Annex must be completed for Modules Two and Three, in case of the specific authorisation of sub-processors (Clause 9(a), Option 1).</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The controller has authorised the use of the following sub-processors:</w:t>
      </w:r>
    </w:p>
    <w:tbl>
      <w:tblPr>
        <w:tblW w:w="5000" w:type="pct"/>
        <w:tblCellSpacing w:w="0" w:type="dxa"/>
        <w:tblCellMar>
          <w:left w:w="0" w:type="dxa"/>
          <w:right w:w="0" w:type="dxa"/>
        </w:tblCellMar>
        <w:tblLook w:val="04A0" w:firstRow="1" w:lastRow="0" w:firstColumn="1" w:lastColumn="0" w:noHBand="0" w:noVBand="1"/>
      </w:tblPr>
      <w:tblGrid>
        <w:gridCol w:w="6"/>
        <w:gridCol w:w="180"/>
        <w:gridCol w:w="8886"/>
      </w:tblGrid>
      <w:tr w:rsidR="001C3273" w:rsidRPr="001C3273" w:rsidTr="001C3273">
        <w:trPr>
          <w:tblCellSpacing w:w="0" w:type="dxa"/>
        </w:trPr>
        <w:tc>
          <w:tcPr>
            <w:tcW w:w="0" w:type="auto"/>
            <w:hideMark/>
          </w:tcPr>
          <w:p w:rsidR="001C3273" w:rsidRPr="001C3273" w:rsidRDefault="001C3273" w:rsidP="001C3273">
            <w:pPr>
              <w:spacing w:after="0" w:line="240" w:lineRule="auto"/>
              <w:rPr>
                <w:rFonts w:ascii="Times New Roman" w:eastAsia="Times New Roman" w:hAnsi="Times New Roman" w:cs="Times New Roman"/>
                <w:sz w:val="24"/>
                <w:szCs w:val="24"/>
                <w:lang w:eastAsia="pl-PL"/>
              </w:rPr>
            </w:pP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1.</w:t>
            </w:r>
          </w:p>
        </w:tc>
        <w:tc>
          <w:tcPr>
            <w:tcW w:w="0" w:type="auto"/>
            <w:hideMark/>
          </w:tcPr>
          <w:p w:rsidR="001C3273" w:rsidRPr="001C3273" w:rsidRDefault="001C3273" w:rsidP="001C3273">
            <w:pPr>
              <w:spacing w:after="0"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Name: …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Address: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Contact person’s name, position and contact details: …</w:t>
            </w:r>
          </w:p>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Description of processing (including a clear delimitation of responsibilities in case several sub-processors are authorised): …</w:t>
            </w:r>
          </w:p>
        </w:tc>
      </w:tr>
    </w:tbl>
    <w:p w:rsidR="001C3273" w:rsidRPr="001C3273" w:rsidRDefault="001C3273" w:rsidP="001C3273">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28"/>
        <w:gridCol w:w="3833"/>
        <w:gridCol w:w="5111"/>
      </w:tblGrid>
      <w:tr w:rsidR="001C3273" w:rsidRPr="001C3273" w:rsidTr="001C3273">
        <w:trPr>
          <w:tblCellSpacing w:w="0" w:type="dxa"/>
        </w:trPr>
        <w:tc>
          <w:tcPr>
            <w:tcW w:w="0" w:type="auto"/>
            <w:hideMark/>
          </w:tcPr>
          <w:p w:rsidR="001C3273" w:rsidRPr="001C3273" w:rsidRDefault="001C3273" w:rsidP="001C3273">
            <w:pPr>
              <w:spacing w:after="0" w:line="240" w:lineRule="auto"/>
              <w:rPr>
                <w:rFonts w:ascii="Times New Roman" w:eastAsia="Times New Roman" w:hAnsi="Times New Roman" w:cs="Times New Roman"/>
                <w:sz w:val="24"/>
                <w:szCs w:val="24"/>
                <w:lang w:eastAsia="pl-PL"/>
              </w:rPr>
            </w:pPr>
          </w:p>
        </w:tc>
        <w:tc>
          <w:tcPr>
            <w:tcW w:w="0" w:type="auto"/>
            <w:hideMark/>
          </w:tcPr>
          <w:p w:rsidR="001C3273" w:rsidRPr="001C3273" w:rsidRDefault="001C3273" w:rsidP="001C3273">
            <w:pPr>
              <w:spacing w:before="100" w:beforeAutospacing="1" w:after="100" w:afterAutospacing="1"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2.</w:t>
            </w:r>
          </w:p>
        </w:tc>
        <w:tc>
          <w:tcPr>
            <w:tcW w:w="0" w:type="auto"/>
            <w:hideMark/>
          </w:tcPr>
          <w:p w:rsidR="001C3273" w:rsidRPr="001C3273" w:rsidRDefault="001C3273" w:rsidP="001C3273">
            <w:pPr>
              <w:spacing w:after="0"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t xml:space="preserve">… </w:t>
            </w:r>
          </w:p>
        </w:tc>
      </w:tr>
    </w:tbl>
    <w:p w:rsidR="001C3273" w:rsidRPr="001C3273" w:rsidRDefault="001C3273" w:rsidP="001C3273">
      <w:pPr>
        <w:spacing w:after="0" w:line="240" w:lineRule="auto"/>
        <w:rPr>
          <w:rFonts w:ascii="Times New Roman" w:eastAsia="Times New Roman" w:hAnsi="Times New Roman" w:cs="Times New Roman"/>
          <w:sz w:val="24"/>
          <w:szCs w:val="24"/>
          <w:lang w:eastAsia="pl-PL"/>
        </w:rPr>
      </w:pPr>
      <w:r w:rsidRPr="001C3273">
        <w:rPr>
          <w:rFonts w:ascii="Times New Roman" w:eastAsia="Times New Roman" w:hAnsi="Times New Roman" w:cs="Times New Roman"/>
          <w:sz w:val="24"/>
          <w:szCs w:val="24"/>
          <w:lang w:eastAsia="pl-PL"/>
        </w:rPr>
        <w:pict>
          <v:rect id="_x0000_i1050" style="width:0;height:1.5pt" o:hralign="center" o:hrstd="t" o:hr="t" fillcolor="#a0a0a0" stroked="f"/>
        </w:pict>
      </w:r>
    </w:p>
    <w:p w:rsidR="00842AFB" w:rsidRPr="001C3273" w:rsidRDefault="00842AFB" w:rsidP="001C3273">
      <w:bookmarkStart w:id="0" w:name="_GoBack"/>
      <w:bookmarkEnd w:id="0"/>
    </w:p>
    <w:sectPr w:rsidR="00842AFB" w:rsidRPr="001C3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38CB"/>
    <w:multiLevelType w:val="multilevel"/>
    <w:tmpl w:val="1250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66"/>
    <w:rsid w:val="001C3273"/>
    <w:rsid w:val="00842AFB"/>
    <w:rsid w:val="00C12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E6869-705C-4CFC-ADD5-F10CB46E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12766"/>
  </w:style>
  <w:style w:type="paragraph" w:customStyle="1" w:styleId="msonormal0">
    <w:name w:val="msonormal"/>
    <w:basedOn w:val="Normalny"/>
    <w:rsid w:val="00C127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12766"/>
    <w:rPr>
      <w:color w:val="0000FF"/>
      <w:u w:val="single"/>
    </w:rPr>
  </w:style>
  <w:style w:type="character" w:styleId="UyteHipercze">
    <w:name w:val="FollowedHyperlink"/>
    <w:basedOn w:val="Domylnaczcionkaakapitu"/>
    <w:uiPriority w:val="99"/>
    <w:semiHidden/>
    <w:unhideWhenUsed/>
    <w:rsid w:val="00C12766"/>
    <w:rPr>
      <w:color w:val="800080"/>
      <w:u w:val="single"/>
    </w:rPr>
  </w:style>
  <w:style w:type="paragraph" w:customStyle="1" w:styleId="toplink">
    <w:name w:val="toplink"/>
    <w:basedOn w:val="Normalny"/>
    <w:rsid w:val="00C127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hd-date">
    <w:name w:val="oj-hd-date"/>
    <w:basedOn w:val="Normalny"/>
    <w:rsid w:val="00C127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hd-lg">
    <w:name w:val="oj-hd-lg"/>
    <w:basedOn w:val="Normalny"/>
    <w:rsid w:val="00C127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hd-ti">
    <w:name w:val="oj-hd-ti"/>
    <w:basedOn w:val="Normalny"/>
    <w:rsid w:val="00C127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hd-oj">
    <w:name w:val="oj-hd-oj"/>
    <w:basedOn w:val="Normalny"/>
    <w:rsid w:val="00C127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doc-ti">
    <w:name w:val="oj-doc-ti"/>
    <w:basedOn w:val="Normalny"/>
    <w:rsid w:val="00C127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normal">
    <w:name w:val="oj-normal"/>
    <w:basedOn w:val="Normalny"/>
    <w:rsid w:val="00C127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j-super">
    <w:name w:val="oj-super"/>
    <w:basedOn w:val="Domylnaczcionkaakapitu"/>
    <w:rsid w:val="00C12766"/>
  </w:style>
  <w:style w:type="paragraph" w:customStyle="1" w:styleId="oj-ti-art">
    <w:name w:val="oj-ti-art"/>
    <w:basedOn w:val="Normalny"/>
    <w:rsid w:val="00C127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j-italic">
    <w:name w:val="oj-italic"/>
    <w:basedOn w:val="Domylnaczcionkaakapitu"/>
    <w:rsid w:val="00C12766"/>
  </w:style>
  <w:style w:type="paragraph" w:customStyle="1" w:styleId="oj-signatory">
    <w:name w:val="oj-signatory"/>
    <w:basedOn w:val="Normalny"/>
    <w:rsid w:val="00C127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note">
    <w:name w:val="oj-note"/>
    <w:basedOn w:val="Normalny"/>
    <w:rsid w:val="00C127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ti-grseq-1">
    <w:name w:val="oj-ti-grseq-1"/>
    <w:basedOn w:val="Normalny"/>
    <w:rsid w:val="00C127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j-bold">
    <w:name w:val="oj-bold"/>
    <w:basedOn w:val="Domylnaczcionkaakapitu"/>
    <w:rsid w:val="00C12766"/>
  </w:style>
  <w:style w:type="numbering" w:customStyle="1" w:styleId="Bezlisty2">
    <w:name w:val="Bez listy2"/>
    <w:next w:val="Bezlisty"/>
    <w:uiPriority w:val="99"/>
    <w:semiHidden/>
    <w:unhideWhenUsed/>
    <w:rsid w:val="001C3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01638">
      <w:bodyDiv w:val="1"/>
      <w:marLeft w:val="0"/>
      <w:marRight w:val="0"/>
      <w:marTop w:val="0"/>
      <w:marBottom w:val="0"/>
      <w:divBdr>
        <w:top w:val="none" w:sz="0" w:space="0" w:color="auto"/>
        <w:left w:val="none" w:sz="0" w:space="0" w:color="auto"/>
        <w:bottom w:val="none" w:sz="0" w:space="0" w:color="auto"/>
        <w:right w:val="none" w:sz="0" w:space="0" w:color="auto"/>
      </w:divBdr>
      <w:divsChild>
        <w:div w:id="1543905079">
          <w:marLeft w:val="0"/>
          <w:marRight w:val="0"/>
          <w:marTop w:val="0"/>
          <w:marBottom w:val="0"/>
          <w:divBdr>
            <w:top w:val="none" w:sz="0" w:space="0" w:color="auto"/>
            <w:left w:val="none" w:sz="0" w:space="0" w:color="auto"/>
            <w:bottom w:val="none" w:sz="0" w:space="0" w:color="auto"/>
            <w:right w:val="none" w:sz="0" w:space="0" w:color="auto"/>
          </w:divBdr>
          <w:divsChild>
            <w:div w:id="2147047152">
              <w:marLeft w:val="0"/>
              <w:marRight w:val="0"/>
              <w:marTop w:val="0"/>
              <w:marBottom w:val="0"/>
              <w:divBdr>
                <w:top w:val="none" w:sz="0" w:space="0" w:color="auto"/>
                <w:left w:val="none" w:sz="0" w:space="0" w:color="auto"/>
                <w:bottom w:val="none" w:sz="0" w:space="0" w:color="auto"/>
                <w:right w:val="none" w:sz="0" w:space="0" w:color="auto"/>
              </w:divBdr>
              <w:divsChild>
                <w:div w:id="267470352">
                  <w:marLeft w:val="0"/>
                  <w:marRight w:val="0"/>
                  <w:marTop w:val="0"/>
                  <w:marBottom w:val="0"/>
                  <w:divBdr>
                    <w:top w:val="none" w:sz="0" w:space="0" w:color="auto"/>
                    <w:left w:val="none" w:sz="0" w:space="0" w:color="auto"/>
                    <w:bottom w:val="none" w:sz="0" w:space="0" w:color="auto"/>
                    <w:right w:val="none" w:sz="0" w:space="0" w:color="auto"/>
                  </w:divBdr>
                  <w:divsChild>
                    <w:div w:id="621886130">
                      <w:marLeft w:val="0"/>
                      <w:marRight w:val="0"/>
                      <w:marTop w:val="0"/>
                      <w:marBottom w:val="0"/>
                      <w:divBdr>
                        <w:top w:val="none" w:sz="0" w:space="0" w:color="auto"/>
                        <w:left w:val="none" w:sz="0" w:space="0" w:color="auto"/>
                        <w:bottom w:val="none" w:sz="0" w:space="0" w:color="auto"/>
                        <w:right w:val="none" w:sz="0" w:space="0" w:color="auto"/>
                      </w:divBdr>
                      <w:divsChild>
                        <w:div w:id="1422096917">
                          <w:marLeft w:val="0"/>
                          <w:marRight w:val="0"/>
                          <w:marTop w:val="0"/>
                          <w:marBottom w:val="0"/>
                          <w:divBdr>
                            <w:top w:val="none" w:sz="0" w:space="0" w:color="auto"/>
                            <w:left w:val="none" w:sz="0" w:space="0" w:color="auto"/>
                            <w:bottom w:val="none" w:sz="0" w:space="0" w:color="auto"/>
                            <w:right w:val="none" w:sz="0" w:space="0" w:color="auto"/>
                          </w:divBdr>
                          <w:divsChild>
                            <w:div w:id="472143443">
                              <w:marLeft w:val="0"/>
                              <w:marRight w:val="0"/>
                              <w:marTop w:val="0"/>
                              <w:marBottom w:val="0"/>
                              <w:divBdr>
                                <w:top w:val="none" w:sz="0" w:space="0" w:color="auto"/>
                                <w:left w:val="none" w:sz="0" w:space="0" w:color="auto"/>
                                <w:bottom w:val="none" w:sz="0" w:space="0" w:color="auto"/>
                                <w:right w:val="none" w:sz="0" w:space="0" w:color="auto"/>
                              </w:divBdr>
                              <w:divsChild>
                                <w:div w:id="59669513">
                                  <w:marLeft w:val="0"/>
                                  <w:marRight w:val="0"/>
                                  <w:marTop w:val="0"/>
                                  <w:marBottom w:val="0"/>
                                  <w:divBdr>
                                    <w:top w:val="none" w:sz="0" w:space="0" w:color="auto"/>
                                    <w:left w:val="none" w:sz="0" w:space="0" w:color="auto"/>
                                    <w:bottom w:val="none" w:sz="0" w:space="0" w:color="auto"/>
                                    <w:right w:val="none" w:sz="0" w:space="0" w:color="auto"/>
                                  </w:divBdr>
                                  <w:divsChild>
                                    <w:div w:id="17740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150">
                      <w:marLeft w:val="0"/>
                      <w:marRight w:val="0"/>
                      <w:marTop w:val="0"/>
                      <w:marBottom w:val="0"/>
                      <w:divBdr>
                        <w:top w:val="none" w:sz="0" w:space="0" w:color="auto"/>
                        <w:left w:val="none" w:sz="0" w:space="0" w:color="auto"/>
                        <w:bottom w:val="none" w:sz="0" w:space="0" w:color="auto"/>
                        <w:right w:val="none" w:sz="0" w:space="0" w:color="auto"/>
                      </w:divBdr>
                      <w:divsChild>
                        <w:div w:id="597371642">
                          <w:marLeft w:val="0"/>
                          <w:marRight w:val="0"/>
                          <w:marTop w:val="0"/>
                          <w:marBottom w:val="0"/>
                          <w:divBdr>
                            <w:top w:val="none" w:sz="0" w:space="0" w:color="auto"/>
                            <w:left w:val="none" w:sz="0" w:space="0" w:color="auto"/>
                            <w:bottom w:val="none" w:sz="0" w:space="0" w:color="auto"/>
                            <w:right w:val="none" w:sz="0" w:space="0" w:color="auto"/>
                          </w:divBdr>
                          <w:divsChild>
                            <w:div w:id="284967987">
                              <w:marLeft w:val="0"/>
                              <w:marRight w:val="0"/>
                              <w:marTop w:val="0"/>
                              <w:marBottom w:val="0"/>
                              <w:divBdr>
                                <w:top w:val="none" w:sz="0" w:space="0" w:color="auto"/>
                                <w:left w:val="none" w:sz="0" w:space="0" w:color="auto"/>
                                <w:bottom w:val="none" w:sz="0" w:space="0" w:color="auto"/>
                                <w:right w:val="none" w:sz="0" w:space="0" w:color="auto"/>
                              </w:divBdr>
                              <w:divsChild>
                                <w:div w:id="2076396265">
                                  <w:marLeft w:val="0"/>
                                  <w:marRight w:val="0"/>
                                  <w:marTop w:val="0"/>
                                  <w:marBottom w:val="0"/>
                                  <w:divBdr>
                                    <w:top w:val="none" w:sz="0" w:space="0" w:color="auto"/>
                                    <w:left w:val="none" w:sz="0" w:space="0" w:color="auto"/>
                                    <w:bottom w:val="none" w:sz="0" w:space="0" w:color="auto"/>
                                    <w:right w:val="none" w:sz="0" w:space="0" w:color="auto"/>
                                  </w:divBdr>
                                </w:div>
                                <w:div w:id="1819757777">
                                  <w:marLeft w:val="0"/>
                                  <w:marRight w:val="0"/>
                                  <w:marTop w:val="0"/>
                                  <w:marBottom w:val="0"/>
                                  <w:divBdr>
                                    <w:top w:val="none" w:sz="0" w:space="0" w:color="auto"/>
                                    <w:left w:val="none" w:sz="0" w:space="0" w:color="auto"/>
                                    <w:bottom w:val="none" w:sz="0" w:space="0" w:color="auto"/>
                                    <w:right w:val="none" w:sz="0" w:space="0" w:color="auto"/>
                                  </w:divBdr>
                                </w:div>
                              </w:divsChild>
                            </w:div>
                            <w:div w:id="17203184">
                              <w:marLeft w:val="0"/>
                              <w:marRight w:val="0"/>
                              <w:marTop w:val="0"/>
                              <w:marBottom w:val="0"/>
                              <w:divBdr>
                                <w:top w:val="none" w:sz="0" w:space="0" w:color="auto"/>
                                <w:left w:val="none" w:sz="0" w:space="0" w:color="auto"/>
                                <w:bottom w:val="none" w:sz="0" w:space="0" w:color="auto"/>
                                <w:right w:val="none" w:sz="0" w:space="0" w:color="auto"/>
                              </w:divBdr>
                            </w:div>
                            <w:div w:id="1517622977">
                              <w:marLeft w:val="0"/>
                              <w:marRight w:val="0"/>
                              <w:marTop w:val="0"/>
                              <w:marBottom w:val="0"/>
                              <w:divBdr>
                                <w:top w:val="none" w:sz="0" w:space="0" w:color="auto"/>
                                <w:left w:val="none" w:sz="0" w:space="0" w:color="auto"/>
                                <w:bottom w:val="none" w:sz="0" w:space="0" w:color="auto"/>
                                <w:right w:val="none" w:sz="0" w:space="0" w:color="auto"/>
                              </w:divBdr>
                            </w:div>
                            <w:div w:id="41174782">
                              <w:marLeft w:val="0"/>
                              <w:marRight w:val="0"/>
                              <w:marTop w:val="0"/>
                              <w:marBottom w:val="0"/>
                              <w:divBdr>
                                <w:top w:val="none" w:sz="0" w:space="0" w:color="auto"/>
                                <w:left w:val="none" w:sz="0" w:space="0" w:color="auto"/>
                                <w:bottom w:val="none" w:sz="0" w:space="0" w:color="auto"/>
                                <w:right w:val="none" w:sz="0" w:space="0" w:color="auto"/>
                              </w:divBdr>
                              <w:divsChild>
                                <w:div w:id="48967175">
                                  <w:marLeft w:val="0"/>
                                  <w:marRight w:val="0"/>
                                  <w:marTop w:val="0"/>
                                  <w:marBottom w:val="0"/>
                                  <w:divBdr>
                                    <w:top w:val="none" w:sz="0" w:space="0" w:color="auto"/>
                                    <w:left w:val="none" w:sz="0" w:space="0" w:color="auto"/>
                                    <w:bottom w:val="none" w:sz="0" w:space="0" w:color="auto"/>
                                    <w:right w:val="none" w:sz="0" w:space="0" w:color="auto"/>
                                  </w:divBdr>
                                </w:div>
                                <w:div w:id="1520779476">
                                  <w:marLeft w:val="0"/>
                                  <w:marRight w:val="0"/>
                                  <w:marTop w:val="0"/>
                                  <w:marBottom w:val="0"/>
                                  <w:divBdr>
                                    <w:top w:val="none" w:sz="0" w:space="0" w:color="auto"/>
                                    <w:left w:val="none" w:sz="0" w:space="0" w:color="auto"/>
                                    <w:bottom w:val="none" w:sz="0" w:space="0" w:color="auto"/>
                                    <w:right w:val="none" w:sz="0" w:space="0" w:color="auto"/>
                                  </w:divBdr>
                                </w:div>
                                <w:div w:id="764572552">
                                  <w:marLeft w:val="0"/>
                                  <w:marRight w:val="0"/>
                                  <w:marTop w:val="0"/>
                                  <w:marBottom w:val="0"/>
                                  <w:divBdr>
                                    <w:top w:val="none" w:sz="0" w:space="0" w:color="auto"/>
                                    <w:left w:val="none" w:sz="0" w:space="0" w:color="auto"/>
                                    <w:bottom w:val="none" w:sz="0" w:space="0" w:color="auto"/>
                                    <w:right w:val="none" w:sz="0" w:space="0" w:color="auto"/>
                                  </w:divBdr>
                                </w:div>
                                <w:div w:id="1438981559">
                                  <w:marLeft w:val="0"/>
                                  <w:marRight w:val="0"/>
                                  <w:marTop w:val="0"/>
                                  <w:marBottom w:val="0"/>
                                  <w:divBdr>
                                    <w:top w:val="none" w:sz="0" w:space="0" w:color="auto"/>
                                    <w:left w:val="none" w:sz="0" w:space="0" w:color="auto"/>
                                    <w:bottom w:val="none" w:sz="0" w:space="0" w:color="auto"/>
                                    <w:right w:val="none" w:sz="0" w:space="0" w:color="auto"/>
                                  </w:divBdr>
                                </w:div>
                              </w:divsChild>
                            </w:div>
                            <w:div w:id="509684750">
                              <w:marLeft w:val="0"/>
                              <w:marRight w:val="0"/>
                              <w:marTop w:val="0"/>
                              <w:marBottom w:val="0"/>
                              <w:divBdr>
                                <w:top w:val="none" w:sz="0" w:space="0" w:color="auto"/>
                                <w:left w:val="none" w:sz="0" w:space="0" w:color="auto"/>
                                <w:bottom w:val="none" w:sz="0" w:space="0" w:color="auto"/>
                                <w:right w:val="none" w:sz="0" w:space="0" w:color="auto"/>
                              </w:divBdr>
                              <w:divsChild>
                                <w:div w:id="5948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9149">
                          <w:marLeft w:val="0"/>
                          <w:marRight w:val="0"/>
                          <w:marTop w:val="0"/>
                          <w:marBottom w:val="0"/>
                          <w:divBdr>
                            <w:top w:val="none" w:sz="0" w:space="0" w:color="auto"/>
                            <w:left w:val="none" w:sz="0" w:space="0" w:color="auto"/>
                            <w:bottom w:val="none" w:sz="0" w:space="0" w:color="auto"/>
                            <w:right w:val="none" w:sz="0" w:space="0" w:color="auto"/>
                          </w:divBdr>
                          <w:divsChild>
                            <w:div w:id="1065298257">
                              <w:marLeft w:val="0"/>
                              <w:marRight w:val="0"/>
                              <w:marTop w:val="0"/>
                              <w:marBottom w:val="0"/>
                              <w:divBdr>
                                <w:top w:val="none" w:sz="0" w:space="0" w:color="auto"/>
                                <w:left w:val="none" w:sz="0" w:space="0" w:color="auto"/>
                                <w:bottom w:val="none" w:sz="0" w:space="0" w:color="auto"/>
                                <w:right w:val="none" w:sz="0" w:space="0" w:color="auto"/>
                              </w:divBdr>
                            </w:div>
                          </w:divsChild>
                        </w:div>
                        <w:div w:id="1167743729">
                          <w:marLeft w:val="0"/>
                          <w:marRight w:val="0"/>
                          <w:marTop w:val="0"/>
                          <w:marBottom w:val="0"/>
                          <w:divBdr>
                            <w:top w:val="none" w:sz="0" w:space="0" w:color="auto"/>
                            <w:left w:val="none" w:sz="0" w:space="0" w:color="auto"/>
                            <w:bottom w:val="none" w:sz="0" w:space="0" w:color="auto"/>
                            <w:right w:val="none" w:sz="0" w:space="0" w:color="auto"/>
                          </w:divBdr>
                          <w:divsChild>
                            <w:div w:id="2063285147">
                              <w:marLeft w:val="0"/>
                              <w:marRight w:val="0"/>
                              <w:marTop w:val="0"/>
                              <w:marBottom w:val="0"/>
                              <w:divBdr>
                                <w:top w:val="none" w:sz="0" w:space="0" w:color="auto"/>
                                <w:left w:val="none" w:sz="0" w:space="0" w:color="auto"/>
                                <w:bottom w:val="none" w:sz="0" w:space="0" w:color="auto"/>
                                <w:right w:val="none" w:sz="0" w:space="0" w:color="auto"/>
                              </w:divBdr>
                            </w:div>
                          </w:divsChild>
                        </w:div>
                        <w:div w:id="118230888">
                          <w:marLeft w:val="0"/>
                          <w:marRight w:val="0"/>
                          <w:marTop w:val="0"/>
                          <w:marBottom w:val="0"/>
                          <w:divBdr>
                            <w:top w:val="none" w:sz="0" w:space="0" w:color="auto"/>
                            <w:left w:val="none" w:sz="0" w:space="0" w:color="auto"/>
                            <w:bottom w:val="none" w:sz="0" w:space="0" w:color="auto"/>
                            <w:right w:val="none" w:sz="0" w:space="0" w:color="auto"/>
                          </w:divBdr>
                          <w:divsChild>
                            <w:div w:id="1292787195">
                              <w:marLeft w:val="0"/>
                              <w:marRight w:val="0"/>
                              <w:marTop w:val="0"/>
                              <w:marBottom w:val="0"/>
                              <w:divBdr>
                                <w:top w:val="none" w:sz="0" w:space="0" w:color="auto"/>
                                <w:left w:val="none" w:sz="0" w:space="0" w:color="auto"/>
                                <w:bottom w:val="none" w:sz="0" w:space="0" w:color="auto"/>
                                <w:right w:val="none" w:sz="0" w:space="0" w:color="auto"/>
                              </w:divBdr>
                            </w:div>
                          </w:divsChild>
                        </w:div>
                        <w:div w:id="588320517">
                          <w:marLeft w:val="0"/>
                          <w:marRight w:val="0"/>
                          <w:marTop w:val="0"/>
                          <w:marBottom w:val="0"/>
                          <w:divBdr>
                            <w:top w:val="none" w:sz="0" w:space="0" w:color="auto"/>
                            <w:left w:val="none" w:sz="0" w:space="0" w:color="auto"/>
                            <w:bottom w:val="none" w:sz="0" w:space="0" w:color="auto"/>
                            <w:right w:val="none" w:sz="0" w:space="0" w:color="auto"/>
                          </w:divBdr>
                          <w:divsChild>
                            <w:div w:id="538278971">
                              <w:marLeft w:val="0"/>
                              <w:marRight w:val="0"/>
                              <w:marTop w:val="0"/>
                              <w:marBottom w:val="0"/>
                              <w:divBdr>
                                <w:top w:val="none" w:sz="0" w:space="0" w:color="auto"/>
                                <w:left w:val="none" w:sz="0" w:space="0" w:color="auto"/>
                                <w:bottom w:val="none" w:sz="0" w:space="0" w:color="auto"/>
                                <w:right w:val="none" w:sz="0" w:space="0" w:color="auto"/>
                              </w:divBdr>
                            </w:div>
                          </w:divsChild>
                        </w:div>
                        <w:div w:id="2059862790">
                          <w:marLeft w:val="0"/>
                          <w:marRight w:val="0"/>
                          <w:marTop w:val="0"/>
                          <w:marBottom w:val="0"/>
                          <w:divBdr>
                            <w:top w:val="none" w:sz="0" w:space="0" w:color="auto"/>
                            <w:left w:val="none" w:sz="0" w:space="0" w:color="auto"/>
                            <w:bottom w:val="none" w:sz="0" w:space="0" w:color="auto"/>
                            <w:right w:val="none" w:sz="0" w:space="0" w:color="auto"/>
                          </w:divBdr>
                          <w:divsChild>
                            <w:div w:id="17541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563263">
      <w:bodyDiv w:val="1"/>
      <w:marLeft w:val="0"/>
      <w:marRight w:val="0"/>
      <w:marTop w:val="0"/>
      <w:marBottom w:val="0"/>
      <w:divBdr>
        <w:top w:val="none" w:sz="0" w:space="0" w:color="auto"/>
        <w:left w:val="none" w:sz="0" w:space="0" w:color="auto"/>
        <w:bottom w:val="none" w:sz="0" w:space="0" w:color="auto"/>
        <w:right w:val="none" w:sz="0" w:space="0" w:color="auto"/>
      </w:divBdr>
      <w:divsChild>
        <w:div w:id="687171859">
          <w:marLeft w:val="0"/>
          <w:marRight w:val="0"/>
          <w:marTop w:val="0"/>
          <w:marBottom w:val="0"/>
          <w:divBdr>
            <w:top w:val="none" w:sz="0" w:space="0" w:color="auto"/>
            <w:left w:val="none" w:sz="0" w:space="0" w:color="auto"/>
            <w:bottom w:val="none" w:sz="0" w:space="0" w:color="auto"/>
            <w:right w:val="none" w:sz="0" w:space="0" w:color="auto"/>
          </w:divBdr>
          <w:divsChild>
            <w:div w:id="1060519736">
              <w:marLeft w:val="0"/>
              <w:marRight w:val="0"/>
              <w:marTop w:val="0"/>
              <w:marBottom w:val="0"/>
              <w:divBdr>
                <w:top w:val="none" w:sz="0" w:space="0" w:color="auto"/>
                <w:left w:val="none" w:sz="0" w:space="0" w:color="auto"/>
                <w:bottom w:val="none" w:sz="0" w:space="0" w:color="auto"/>
                <w:right w:val="none" w:sz="0" w:space="0" w:color="auto"/>
              </w:divBdr>
              <w:divsChild>
                <w:div w:id="1866752406">
                  <w:marLeft w:val="0"/>
                  <w:marRight w:val="0"/>
                  <w:marTop w:val="0"/>
                  <w:marBottom w:val="0"/>
                  <w:divBdr>
                    <w:top w:val="none" w:sz="0" w:space="0" w:color="auto"/>
                    <w:left w:val="none" w:sz="0" w:space="0" w:color="auto"/>
                    <w:bottom w:val="none" w:sz="0" w:space="0" w:color="auto"/>
                    <w:right w:val="none" w:sz="0" w:space="0" w:color="auto"/>
                  </w:divBdr>
                  <w:divsChild>
                    <w:div w:id="1929338912">
                      <w:marLeft w:val="0"/>
                      <w:marRight w:val="0"/>
                      <w:marTop w:val="0"/>
                      <w:marBottom w:val="0"/>
                      <w:divBdr>
                        <w:top w:val="none" w:sz="0" w:space="0" w:color="auto"/>
                        <w:left w:val="none" w:sz="0" w:space="0" w:color="auto"/>
                        <w:bottom w:val="none" w:sz="0" w:space="0" w:color="auto"/>
                        <w:right w:val="none" w:sz="0" w:space="0" w:color="auto"/>
                      </w:divBdr>
                    </w:div>
                    <w:div w:id="1124931405">
                      <w:marLeft w:val="0"/>
                      <w:marRight w:val="0"/>
                      <w:marTop w:val="0"/>
                      <w:marBottom w:val="0"/>
                      <w:divBdr>
                        <w:top w:val="none" w:sz="0" w:space="0" w:color="auto"/>
                        <w:left w:val="none" w:sz="0" w:space="0" w:color="auto"/>
                        <w:bottom w:val="none" w:sz="0" w:space="0" w:color="auto"/>
                        <w:right w:val="none" w:sz="0" w:space="0" w:color="auto"/>
                      </w:divBdr>
                    </w:div>
                  </w:divsChild>
                </w:div>
                <w:div w:id="1626764938">
                  <w:marLeft w:val="0"/>
                  <w:marRight w:val="0"/>
                  <w:marTop w:val="0"/>
                  <w:marBottom w:val="0"/>
                  <w:divBdr>
                    <w:top w:val="none" w:sz="0" w:space="0" w:color="auto"/>
                    <w:left w:val="none" w:sz="0" w:space="0" w:color="auto"/>
                    <w:bottom w:val="none" w:sz="0" w:space="0" w:color="auto"/>
                    <w:right w:val="none" w:sz="0" w:space="0" w:color="auto"/>
                  </w:divBdr>
                </w:div>
                <w:div w:id="1049261815">
                  <w:marLeft w:val="0"/>
                  <w:marRight w:val="0"/>
                  <w:marTop w:val="0"/>
                  <w:marBottom w:val="0"/>
                  <w:divBdr>
                    <w:top w:val="none" w:sz="0" w:space="0" w:color="auto"/>
                    <w:left w:val="none" w:sz="0" w:space="0" w:color="auto"/>
                    <w:bottom w:val="none" w:sz="0" w:space="0" w:color="auto"/>
                    <w:right w:val="none" w:sz="0" w:space="0" w:color="auto"/>
                  </w:divBdr>
                </w:div>
                <w:div w:id="1084574016">
                  <w:marLeft w:val="0"/>
                  <w:marRight w:val="0"/>
                  <w:marTop w:val="0"/>
                  <w:marBottom w:val="0"/>
                  <w:divBdr>
                    <w:top w:val="none" w:sz="0" w:space="0" w:color="auto"/>
                    <w:left w:val="none" w:sz="0" w:space="0" w:color="auto"/>
                    <w:bottom w:val="none" w:sz="0" w:space="0" w:color="auto"/>
                    <w:right w:val="none" w:sz="0" w:space="0" w:color="auto"/>
                  </w:divBdr>
                  <w:divsChild>
                    <w:div w:id="491261789">
                      <w:marLeft w:val="0"/>
                      <w:marRight w:val="0"/>
                      <w:marTop w:val="0"/>
                      <w:marBottom w:val="0"/>
                      <w:divBdr>
                        <w:top w:val="none" w:sz="0" w:space="0" w:color="auto"/>
                        <w:left w:val="none" w:sz="0" w:space="0" w:color="auto"/>
                        <w:bottom w:val="none" w:sz="0" w:space="0" w:color="auto"/>
                        <w:right w:val="none" w:sz="0" w:space="0" w:color="auto"/>
                      </w:divBdr>
                    </w:div>
                    <w:div w:id="1927768622">
                      <w:marLeft w:val="0"/>
                      <w:marRight w:val="0"/>
                      <w:marTop w:val="0"/>
                      <w:marBottom w:val="0"/>
                      <w:divBdr>
                        <w:top w:val="none" w:sz="0" w:space="0" w:color="auto"/>
                        <w:left w:val="none" w:sz="0" w:space="0" w:color="auto"/>
                        <w:bottom w:val="none" w:sz="0" w:space="0" w:color="auto"/>
                        <w:right w:val="none" w:sz="0" w:space="0" w:color="auto"/>
                      </w:divBdr>
                    </w:div>
                    <w:div w:id="90662696">
                      <w:marLeft w:val="0"/>
                      <w:marRight w:val="0"/>
                      <w:marTop w:val="0"/>
                      <w:marBottom w:val="0"/>
                      <w:divBdr>
                        <w:top w:val="none" w:sz="0" w:space="0" w:color="auto"/>
                        <w:left w:val="none" w:sz="0" w:space="0" w:color="auto"/>
                        <w:bottom w:val="none" w:sz="0" w:space="0" w:color="auto"/>
                        <w:right w:val="none" w:sz="0" w:space="0" w:color="auto"/>
                      </w:divBdr>
                    </w:div>
                    <w:div w:id="533351701">
                      <w:marLeft w:val="0"/>
                      <w:marRight w:val="0"/>
                      <w:marTop w:val="0"/>
                      <w:marBottom w:val="0"/>
                      <w:divBdr>
                        <w:top w:val="none" w:sz="0" w:space="0" w:color="auto"/>
                        <w:left w:val="none" w:sz="0" w:space="0" w:color="auto"/>
                        <w:bottom w:val="none" w:sz="0" w:space="0" w:color="auto"/>
                        <w:right w:val="none" w:sz="0" w:space="0" w:color="auto"/>
                      </w:divBdr>
                    </w:div>
                  </w:divsChild>
                </w:div>
                <w:div w:id="1909145900">
                  <w:marLeft w:val="0"/>
                  <w:marRight w:val="0"/>
                  <w:marTop w:val="0"/>
                  <w:marBottom w:val="0"/>
                  <w:divBdr>
                    <w:top w:val="none" w:sz="0" w:space="0" w:color="auto"/>
                    <w:left w:val="none" w:sz="0" w:space="0" w:color="auto"/>
                    <w:bottom w:val="none" w:sz="0" w:space="0" w:color="auto"/>
                    <w:right w:val="none" w:sz="0" w:space="0" w:color="auto"/>
                  </w:divBdr>
                  <w:divsChild>
                    <w:div w:id="12895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035">
              <w:marLeft w:val="0"/>
              <w:marRight w:val="0"/>
              <w:marTop w:val="0"/>
              <w:marBottom w:val="0"/>
              <w:divBdr>
                <w:top w:val="none" w:sz="0" w:space="0" w:color="auto"/>
                <w:left w:val="none" w:sz="0" w:space="0" w:color="auto"/>
                <w:bottom w:val="none" w:sz="0" w:space="0" w:color="auto"/>
                <w:right w:val="none" w:sz="0" w:space="0" w:color="auto"/>
              </w:divBdr>
              <w:divsChild>
                <w:div w:id="491800242">
                  <w:marLeft w:val="0"/>
                  <w:marRight w:val="0"/>
                  <w:marTop w:val="0"/>
                  <w:marBottom w:val="0"/>
                  <w:divBdr>
                    <w:top w:val="none" w:sz="0" w:space="0" w:color="auto"/>
                    <w:left w:val="none" w:sz="0" w:space="0" w:color="auto"/>
                    <w:bottom w:val="none" w:sz="0" w:space="0" w:color="auto"/>
                    <w:right w:val="none" w:sz="0" w:space="0" w:color="auto"/>
                  </w:divBdr>
                </w:div>
              </w:divsChild>
            </w:div>
            <w:div w:id="2101951335">
              <w:marLeft w:val="0"/>
              <w:marRight w:val="0"/>
              <w:marTop w:val="0"/>
              <w:marBottom w:val="0"/>
              <w:divBdr>
                <w:top w:val="none" w:sz="0" w:space="0" w:color="auto"/>
                <w:left w:val="none" w:sz="0" w:space="0" w:color="auto"/>
                <w:bottom w:val="none" w:sz="0" w:space="0" w:color="auto"/>
                <w:right w:val="none" w:sz="0" w:space="0" w:color="auto"/>
              </w:divBdr>
              <w:divsChild>
                <w:div w:id="1968780979">
                  <w:marLeft w:val="0"/>
                  <w:marRight w:val="0"/>
                  <w:marTop w:val="0"/>
                  <w:marBottom w:val="0"/>
                  <w:divBdr>
                    <w:top w:val="none" w:sz="0" w:space="0" w:color="auto"/>
                    <w:left w:val="none" w:sz="0" w:space="0" w:color="auto"/>
                    <w:bottom w:val="none" w:sz="0" w:space="0" w:color="auto"/>
                    <w:right w:val="none" w:sz="0" w:space="0" w:color="auto"/>
                  </w:divBdr>
                </w:div>
              </w:divsChild>
            </w:div>
            <w:div w:id="1458136254">
              <w:marLeft w:val="0"/>
              <w:marRight w:val="0"/>
              <w:marTop w:val="0"/>
              <w:marBottom w:val="0"/>
              <w:divBdr>
                <w:top w:val="none" w:sz="0" w:space="0" w:color="auto"/>
                <w:left w:val="none" w:sz="0" w:space="0" w:color="auto"/>
                <w:bottom w:val="none" w:sz="0" w:space="0" w:color="auto"/>
                <w:right w:val="none" w:sz="0" w:space="0" w:color="auto"/>
              </w:divBdr>
              <w:divsChild>
                <w:div w:id="1944218183">
                  <w:marLeft w:val="0"/>
                  <w:marRight w:val="0"/>
                  <w:marTop w:val="0"/>
                  <w:marBottom w:val="0"/>
                  <w:divBdr>
                    <w:top w:val="none" w:sz="0" w:space="0" w:color="auto"/>
                    <w:left w:val="none" w:sz="0" w:space="0" w:color="auto"/>
                    <w:bottom w:val="none" w:sz="0" w:space="0" w:color="auto"/>
                    <w:right w:val="none" w:sz="0" w:space="0" w:color="auto"/>
                  </w:divBdr>
                </w:div>
              </w:divsChild>
            </w:div>
            <w:div w:id="2041124036">
              <w:marLeft w:val="0"/>
              <w:marRight w:val="0"/>
              <w:marTop w:val="0"/>
              <w:marBottom w:val="0"/>
              <w:divBdr>
                <w:top w:val="none" w:sz="0" w:space="0" w:color="auto"/>
                <w:left w:val="none" w:sz="0" w:space="0" w:color="auto"/>
                <w:bottom w:val="none" w:sz="0" w:space="0" w:color="auto"/>
                <w:right w:val="none" w:sz="0" w:space="0" w:color="auto"/>
              </w:divBdr>
              <w:divsChild>
                <w:div w:id="2053990577">
                  <w:marLeft w:val="0"/>
                  <w:marRight w:val="0"/>
                  <w:marTop w:val="0"/>
                  <w:marBottom w:val="0"/>
                  <w:divBdr>
                    <w:top w:val="none" w:sz="0" w:space="0" w:color="auto"/>
                    <w:left w:val="none" w:sz="0" w:space="0" w:color="auto"/>
                    <w:bottom w:val="none" w:sz="0" w:space="0" w:color="auto"/>
                    <w:right w:val="none" w:sz="0" w:space="0" w:color="auto"/>
                  </w:divBdr>
                </w:div>
              </w:divsChild>
            </w:div>
            <w:div w:id="408892654">
              <w:marLeft w:val="0"/>
              <w:marRight w:val="0"/>
              <w:marTop w:val="0"/>
              <w:marBottom w:val="0"/>
              <w:divBdr>
                <w:top w:val="none" w:sz="0" w:space="0" w:color="auto"/>
                <w:left w:val="none" w:sz="0" w:space="0" w:color="auto"/>
                <w:bottom w:val="none" w:sz="0" w:space="0" w:color="auto"/>
                <w:right w:val="none" w:sz="0" w:space="0" w:color="auto"/>
              </w:divBdr>
              <w:divsChild>
                <w:div w:id="532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HTML/?uri=CELEX:32021D0914&amp;from=PL" TargetMode="External"/><Relationship Id="rId18" Type="http://schemas.openxmlformats.org/officeDocument/2006/relationships/hyperlink" Target="https://eur-lex.europa.eu/legal-content/EN/AUTO/?uri=OJ:L:2016:119:TOC" TargetMode="External"/><Relationship Id="rId26" Type="http://schemas.openxmlformats.org/officeDocument/2006/relationships/hyperlink" Target="https://eur-lex.europa.eu/legal-content/EN/TXT/HTML/?uri=CELEX:32021D0914&amp;from=PL" TargetMode="External"/><Relationship Id="rId39" Type="http://schemas.openxmlformats.org/officeDocument/2006/relationships/hyperlink" Target="https://eur-lex.europa.eu/legal-content/EN/TXT/HTML/?uri=CELEX:32021D0914&amp;from=PL" TargetMode="External"/><Relationship Id="rId21" Type="http://schemas.openxmlformats.org/officeDocument/2006/relationships/hyperlink" Target="https://eur-lex.europa.eu/legal-content/EN/TXT/HTML/?uri=CELEX:32021D0914&amp;from=PL" TargetMode="External"/><Relationship Id="rId34" Type="http://schemas.openxmlformats.org/officeDocument/2006/relationships/hyperlink" Target="https://eur-lex.europa.eu/legal-content/EN/TXT/HTML/?uri=CELEX:32021D0914&amp;from=PL" TargetMode="External"/><Relationship Id="rId42" Type="http://schemas.openxmlformats.org/officeDocument/2006/relationships/hyperlink" Target="https://eur-lex.europa.eu/legal-content/EN/TXT/HTML/?uri=CELEX:32021D0914&amp;from=PL" TargetMode="External"/><Relationship Id="rId47" Type="http://schemas.openxmlformats.org/officeDocument/2006/relationships/hyperlink" Target="https://eur-lex.europa.eu/legal-content/EN/AUTO/?uri=OJ:L:2018:295:TOC" TargetMode="External"/><Relationship Id="rId50" Type="http://schemas.openxmlformats.org/officeDocument/2006/relationships/hyperlink" Target="https://eur-lex.europa.eu/legal-content/EN/TXT/HTML/?uri=CELEX:32021D0914&amp;from=PL" TargetMode="External"/><Relationship Id="rId55" Type="http://schemas.openxmlformats.org/officeDocument/2006/relationships/hyperlink" Target="https://eur-lex.europa.eu/legal-content/EN/TXT/HTML/?uri=CELEX:32021D0914&amp;from=PL" TargetMode="External"/><Relationship Id="rId7" Type="http://schemas.openxmlformats.org/officeDocument/2006/relationships/hyperlink" Target="https://eur-lex.europa.eu/legal-content/EN/TXT/HTML/?uri=CELEX:32021D0914&amp;from=PL" TargetMode="External"/><Relationship Id="rId2" Type="http://schemas.openxmlformats.org/officeDocument/2006/relationships/styles" Target="styles.xml"/><Relationship Id="rId16" Type="http://schemas.openxmlformats.org/officeDocument/2006/relationships/hyperlink" Target="https://eur-lex.europa.eu/legal-content/EN/TXT/HTML/?uri=CELEX:32021D0914&amp;from=PL" TargetMode="External"/><Relationship Id="rId29" Type="http://schemas.openxmlformats.org/officeDocument/2006/relationships/hyperlink" Target="https://eur-lex.europa.eu/legal-content/EN/AUTO/?uri=OJ:L:2018:295:TOC" TargetMode="External"/><Relationship Id="rId11" Type="http://schemas.openxmlformats.org/officeDocument/2006/relationships/hyperlink" Target="https://eur-lex.europa.eu/legal-content/EN/TXT/HTML/?uri=CELEX:32021D0914&amp;from=PL" TargetMode="External"/><Relationship Id="rId24" Type="http://schemas.openxmlformats.org/officeDocument/2006/relationships/hyperlink" Target="https://eur-lex.europa.eu/legal-content/EN/TXT/HTML/?uri=CELEX:32021D0914&amp;from=PL" TargetMode="External"/><Relationship Id="rId32" Type="http://schemas.openxmlformats.org/officeDocument/2006/relationships/hyperlink" Target="https://eur-lex.europa.eu/legal-content/EN/TXT/HTML/?uri=CELEX:32021D0914&amp;from=PL" TargetMode="External"/><Relationship Id="rId37" Type="http://schemas.openxmlformats.org/officeDocument/2006/relationships/hyperlink" Target="https://eur-lex.europa.eu/legal-content/EN/TXT/HTML/?uri=CELEX:32021D0914&amp;from=PL" TargetMode="External"/><Relationship Id="rId40" Type="http://schemas.openxmlformats.org/officeDocument/2006/relationships/hyperlink" Target="https://eur-lex.europa.eu/legal-content/EN/TXT/HTML/?uri=CELEX:32021D0914&amp;from=PL" TargetMode="External"/><Relationship Id="rId45" Type="http://schemas.openxmlformats.org/officeDocument/2006/relationships/hyperlink" Target="https://eur-lex.europa.eu/legal-content/EN/TXT/HTML/?uri=CELEX:32021D0914&amp;from=PL" TargetMode="External"/><Relationship Id="rId53" Type="http://schemas.openxmlformats.org/officeDocument/2006/relationships/hyperlink" Target="https://eur-lex.europa.eu/legal-content/EN/TXT/HTML/?uri=CELEX:32021D0914&amp;from=PL" TargetMode="External"/><Relationship Id="rId58" Type="http://schemas.openxmlformats.org/officeDocument/2006/relationships/hyperlink" Target="https://eur-lex.europa.eu/legal-content/EN/TXT/HTML/?uri=CELEX:32021D0914&amp;from=PL" TargetMode="External"/><Relationship Id="rId5" Type="http://schemas.openxmlformats.org/officeDocument/2006/relationships/hyperlink" Target="https://eur-lex.europa.eu/legal-content/EN/TXT/HTML/?uri=CELEX:32021D0914&amp;from=PL" TargetMode="External"/><Relationship Id="rId19" Type="http://schemas.openxmlformats.org/officeDocument/2006/relationships/hyperlink" Target="https://eur-lex.europa.eu/legal-content/EN/TXT/HTML/?uri=CELEX:32021D0914&amp;from=PL" TargetMode="External"/><Relationship Id="rId4" Type="http://schemas.openxmlformats.org/officeDocument/2006/relationships/webSettings" Target="webSettings.xml"/><Relationship Id="rId9" Type="http://schemas.openxmlformats.org/officeDocument/2006/relationships/hyperlink" Target="https://eur-lex.europa.eu/legal-content/EN/TXT/HTML/?uri=CELEX:32021D0914&amp;from=PL" TargetMode="External"/><Relationship Id="rId14" Type="http://schemas.openxmlformats.org/officeDocument/2006/relationships/hyperlink" Target="https://eur-lex.europa.eu/legal-content/EN/TXT/HTML/?uri=CELEX:32021D0914&amp;from=PL" TargetMode="External"/><Relationship Id="rId22" Type="http://schemas.openxmlformats.org/officeDocument/2006/relationships/hyperlink" Target="https://eur-lex.europa.eu/legal-content/EN/TXT/HTML/?uri=CELEX:32021D0914&amp;from=PL" TargetMode="External"/><Relationship Id="rId27" Type="http://schemas.openxmlformats.org/officeDocument/2006/relationships/hyperlink" Target="https://eur-lex.europa.eu/legal-content/EN/AUTO/?uri=OJ:L:1995:281:TOC" TargetMode="External"/><Relationship Id="rId30" Type="http://schemas.openxmlformats.org/officeDocument/2006/relationships/hyperlink" Target="https://eur-lex.europa.eu/legal-content/EN/TXT/HTML/?uri=CELEX:32021D0914&amp;from=PL" TargetMode="External"/><Relationship Id="rId35" Type="http://schemas.openxmlformats.org/officeDocument/2006/relationships/hyperlink" Target="https://eur-lex.europa.eu/legal-content/EN/TXT/HTML/?uri=CELEX:32021D0914&amp;from=PL" TargetMode="External"/><Relationship Id="rId43" Type="http://schemas.openxmlformats.org/officeDocument/2006/relationships/hyperlink" Target="https://eur-lex.europa.eu/legal-content/EN/TXT/HTML/?uri=CELEX:32021D0914&amp;from=PL" TargetMode="External"/><Relationship Id="rId48" Type="http://schemas.openxmlformats.org/officeDocument/2006/relationships/hyperlink" Target="https://eur-lex.europa.eu/legal-content/EN/TXT/HTML/?uri=CELEX:32021D0914&amp;from=PL" TargetMode="External"/><Relationship Id="rId56" Type="http://schemas.openxmlformats.org/officeDocument/2006/relationships/hyperlink" Target="https://eur-lex.europa.eu/legal-content/EN/TXT/HTML/?uri=CELEX:32021D0914&amp;from=PL" TargetMode="External"/><Relationship Id="rId8" Type="http://schemas.openxmlformats.org/officeDocument/2006/relationships/hyperlink" Target="https://eur-lex.europa.eu/legal-content/EN/TXT/HTML/?uri=CELEX:32021D0914&amp;from=PL" TargetMode="External"/><Relationship Id="rId51" Type="http://schemas.openxmlformats.org/officeDocument/2006/relationships/hyperlink" Target="https://eur-lex.europa.eu/legal-content/EN/TXT/HTML/?uri=CELEX:32021D0914&amp;from=PL" TargetMode="External"/><Relationship Id="rId3" Type="http://schemas.openxmlformats.org/officeDocument/2006/relationships/settings" Target="settings.xml"/><Relationship Id="rId12" Type="http://schemas.openxmlformats.org/officeDocument/2006/relationships/hyperlink" Target="https://eur-lex.europa.eu/legal-content/EN/TXT/HTML/?uri=CELEX:32021D0914&amp;from=PL" TargetMode="External"/><Relationship Id="rId17" Type="http://schemas.openxmlformats.org/officeDocument/2006/relationships/hyperlink" Target="https://eur-lex.europa.eu/legal-content/EN/TXT/HTML/?uri=CELEX:32021D0914&amp;from=PL" TargetMode="External"/><Relationship Id="rId25" Type="http://schemas.openxmlformats.org/officeDocument/2006/relationships/hyperlink" Target="https://eur-lex.europa.eu/legal-content/EN/AUTO/?uri=OJ:L:2010:039:TOC" TargetMode="External"/><Relationship Id="rId33" Type="http://schemas.openxmlformats.org/officeDocument/2006/relationships/hyperlink" Target="https://eur-lex.europa.eu/legal-content/EN/TXT/HTML/?uri=CELEX:32021D0914&amp;from=PL" TargetMode="External"/><Relationship Id="rId38" Type="http://schemas.openxmlformats.org/officeDocument/2006/relationships/hyperlink" Target="https://eur-lex.europa.eu/legal-content/EN/TXT/HTML/?uri=CELEX:32021D0914&amp;from=PL" TargetMode="External"/><Relationship Id="rId46" Type="http://schemas.openxmlformats.org/officeDocument/2006/relationships/hyperlink" Target="https://eur-lex.europa.eu/legal-content/EN/TXT/HTML/?uri=CELEX:32021D0914&amp;from=PL" TargetMode="External"/><Relationship Id="rId59" Type="http://schemas.openxmlformats.org/officeDocument/2006/relationships/fontTable" Target="fontTable.xml"/><Relationship Id="rId20" Type="http://schemas.openxmlformats.org/officeDocument/2006/relationships/hyperlink" Target="https://eur-lex.europa.eu/legal-content/EN/TXT/HTML/?uri=CELEX:32021D0914&amp;from=PL" TargetMode="External"/><Relationship Id="rId41" Type="http://schemas.openxmlformats.org/officeDocument/2006/relationships/hyperlink" Target="https://eur-lex.europa.eu/legal-content/EN/TXT/HTML/?uri=CELEX:32021D0914&amp;from=PL" TargetMode="External"/><Relationship Id="rId54" Type="http://schemas.openxmlformats.org/officeDocument/2006/relationships/hyperlink" Target="https://eur-lex.europa.eu/legal-content/EN/TXT/HTML/?uri=CELEX:32021D0914&amp;from=PL" TargetMode="External"/><Relationship Id="rId1" Type="http://schemas.openxmlformats.org/officeDocument/2006/relationships/numbering" Target="numbering.xml"/><Relationship Id="rId6" Type="http://schemas.openxmlformats.org/officeDocument/2006/relationships/hyperlink" Target="https://eur-lex.europa.eu/legal-content/EN/TXT/HTML/?uri=CELEX:32021D0914&amp;from=PL" TargetMode="External"/><Relationship Id="rId15" Type="http://schemas.openxmlformats.org/officeDocument/2006/relationships/hyperlink" Target="https://eur-lex.europa.eu/legal-content/EN/TXT/HTML/?uri=CELEX:32021D0914&amp;from=PL" TargetMode="External"/><Relationship Id="rId23" Type="http://schemas.openxmlformats.org/officeDocument/2006/relationships/hyperlink" Target="https://eur-lex.europa.eu/legal-content/EN/AUTO/?uri=OJ:L:2001:181:TOC" TargetMode="External"/><Relationship Id="rId28" Type="http://schemas.openxmlformats.org/officeDocument/2006/relationships/hyperlink" Target="https://eur-lex.europa.eu/legal-content/EN/TXT/HTML/?uri=CELEX:32021D0914&amp;from=PL" TargetMode="External"/><Relationship Id="rId36" Type="http://schemas.openxmlformats.org/officeDocument/2006/relationships/hyperlink" Target="https://eur-lex.europa.eu/legal-content/EN/TXT/HTML/?uri=CELEX:32021D0914&amp;from=PL" TargetMode="External"/><Relationship Id="rId49" Type="http://schemas.openxmlformats.org/officeDocument/2006/relationships/hyperlink" Target="https://eur-lex.europa.eu/legal-content/EN/TXT/HTML/?uri=CELEX:32021D0914&amp;from=PL" TargetMode="External"/><Relationship Id="rId57" Type="http://schemas.openxmlformats.org/officeDocument/2006/relationships/hyperlink" Target="https://eur-lex.europa.eu/legal-content/EN/TXT/HTML/?uri=CELEX:32021D0914&amp;from=PL" TargetMode="External"/><Relationship Id="rId10" Type="http://schemas.openxmlformats.org/officeDocument/2006/relationships/hyperlink" Target="https://eur-lex.europa.eu/legal-content/EN/TXT/HTML/?uri=CELEX:32021D0914&amp;from=PL" TargetMode="External"/><Relationship Id="rId31" Type="http://schemas.openxmlformats.org/officeDocument/2006/relationships/hyperlink" Target="https://eur-lex.europa.eu/legal-content/EN/TXT/HTML/?uri=CELEX:32021D0914&amp;from=PL" TargetMode="External"/><Relationship Id="rId44" Type="http://schemas.openxmlformats.org/officeDocument/2006/relationships/hyperlink" Target="https://eur-lex.europa.eu/legal-content/EN/TXT/HTML/?uri=CELEX:32021D0914&amp;from=PL" TargetMode="External"/><Relationship Id="rId52" Type="http://schemas.openxmlformats.org/officeDocument/2006/relationships/hyperlink" Target="https://eur-lex.europa.eu/legal-content/EN/TXT/HTML/?uri=CELEX:32021D0914&amp;from=PL" TargetMode="Externa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16460</Words>
  <Characters>98760</Characters>
  <Application>Microsoft Office Word</Application>
  <DocSecurity>0</DocSecurity>
  <Lines>823</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Minasz</dc:creator>
  <cp:keywords/>
  <dc:description/>
  <cp:lastModifiedBy>Emilia Minasz</cp:lastModifiedBy>
  <cp:revision>2</cp:revision>
  <dcterms:created xsi:type="dcterms:W3CDTF">2021-06-23T11:01:00Z</dcterms:created>
  <dcterms:modified xsi:type="dcterms:W3CDTF">2022-04-12T12:46:00Z</dcterms:modified>
</cp:coreProperties>
</file>