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A3848" w14:textId="58ADCBF8" w:rsidR="003B7611" w:rsidRDefault="003B7611" w:rsidP="00A62B16">
      <w:pPr>
        <w:spacing w:after="0" w:line="240" w:lineRule="auto"/>
        <w:jc w:val="both"/>
        <w:rPr>
          <w:rFonts w:ascii="Times New Roman" w:eastAsia="Times New Roman" w:hAnsi="Times New Roman" w:cs="Times New Roman"/>
          <w:sz w:val="24"/>
          <w:szCs w:val="24"/>
          <w:lang w:eastAsia="pl-PL"/>
        </w:rPr>
      </w:pPr>
    </w:p>
    <w:p w14:paraId="1E76C136" w14:textId="4CDEFF78" w:rsidR="003B7611" w:rsidRDefault="003B7611" w:rsidP="00A62B16">
      <w:pPr>
        <w:spacing w:after="0" w:line="240" w:lineRule="auto"/>
        <w:jc w:val="both"/>
        <w:rPr>
          <w:rFonts w:ascii="Times New Roman" w:eastAsia="Times New Roman" w:hAnsi="Times New Roman" w:cs="Times New Roman"/>
          <w:sz w:val="24"/>
          <w:szCs w:val="24"/>
          <w:lang w:eastAsia="pl-PL"/>
        </w:rPr>
      </w:pPr>
    </w:p>
    <w:p w14:paraId="21FB8A0B" w14:textId="49EB8D9B" w:rsidR="003B7611" w:rsidRDefault="003B7611" w:rsidP="00A62B16">
      <w:pPr>
        <w:spacing w:after="0" w:line="240" w:lineRule="auto"/>
        <w:jc w:val="both"/>
        <w:rPr>
          <w:rFonts w:ascii="Times New Roman" w:eastAsia="Times New Roman" w:hAnsi="Times New Roman" w:cs="Times New Roman"/>
          <w:sz w:val="24"/>
          <w:szCs w:val="24"/>
          <w:lang w:eastAsia="pl-PL"/>
        </w:rPr>
      </w:pPr>
    </w:p>
    <w:p w14:paraId="6CA44354" w14:textId="74B7ED6A" w:rsidR="003B7611" w:rsidRPr="00E34160" w:rsidRDefault="003B7611" w:rsidP="00A62B16">
      <w:pPr>
        <w:spacing w:after="0" w:line="240" w:lineRule="auto"/>
        <w:jc w:val="both"/>
        <w:rPr>
          <w:rFonts w:ascii="Calibri" w:eastAsia="Times New Roman" w:hAnsi="Calibri" w:cs="Calibri"/>
          <w:sz w:val="24"/>
          <w:szCs w:val="24"/>
          <w:lang w:eastAsia="pl-PL"/>
        </w:rPr>
      </w:pPr>
    </w:p>
    <w:p w14:paraId="1A92DB32" w14:textId="77777777" w:rsidR="00573D01" w:rsidRPr="00577884" w:rsidRDefault="003B7611" w:rsidP="00A62B16">
      <w:pPr>
        <w:spacing w:after="0" w:line="240" w:lineRule="auto"/>
        <w:jc w:val="both"/>
        <w:rPr>
          <w:rFonts w:ascii="Calibri" w:eastAsia="Times New Roman" w:hAnsi="Calibri" w:cs="Calibri"/>
          <w:b/>
          <w:sz w:val="32"/>
          <w:szCs w:val="32"/>
        </w:rPr>
      </w:pPr>
      <w:bookmarkStart w:id="0" w:name="_Hlk93302337"/>
      <w:r>
        <w:rPr>
          <w:rFonts w:ascii="Calibri" w:hAnsi="Calibri"/>
          <w:b/>
          <w:sz w:val="32"/>
          <w:szCs w:val="32"/>
        </w:rPr>
        <w:t xml:space="preserve">REGULATION REGARDING PERSONAL DATA FOR AGREEMENTS WITH: </w:t>
      </w:r>
    </w:p>
    <w:p w14:paraId="1F2E28A0" w14:textId="77777777" w:rsidR="00573D01" w:rsidRPr="00577884" w:rsidRDefault="00573D01" w:rsidP="00A62B16">
      <w:pPr>
        <w:spacing w:after="0" w:line="240" w:lineRule="auto"/>
        <w:jc w:val="both"/>
        <w:rPr>
          <w:rFonts w:ascii="Calibri" w:eastAsia="Times New Roman" w:hAnsi="Calibri" w:cs="Calibri"/>
          <w:b/>
          <w:sz w:val="32"/>
          <w:szCs w:val="32"/>
        </w:rPr>
      </w:pPr>
      <w:r>
        <w:rPr>
          <w:rFonts w:ascii="Calibri" w:hAnsi="Calibri"/>
          <w:b/>
          <w:sz w:val="32"/>
          <w:szCs w:val="32"/>
        </w:rPr>
        <w:t xml:space="preserve">- EU AND EEA COUNTRIES </w:t>
      </w:r>
    </w:p>
    <w:p w14:paraId="3F3CA925" w14:textId="595A7858" w:rsidR="003B7611" w:rsidRPr="00577884" w:rsidRDefault="00573D01" w:rsidP="00A62B16">
      <w:pPr>
        <w:spacing w:after="0" w:line="240" w:lineRule="auto"/>
        <w:jc w:val="both"/>
        <w:rPr>
          <w:rFonts w:ascii="Calibri" w:eastAsia="Times New Roman" w:hAnsi="Calibri" w:cs="Calibri"/>
          <w:b/>
          <w:sz w:val="32"/>
          <w:szCs w:val="32"/>
        </w:rPr>
      </w:pPr>
      <w:r>
        <w:rPr>
          <w:rFonts w:ascii="Calibri" w:hAnsi="Calibri"/>
          <w:b/>
          <w:sz w:val="32"/>
          <w:szCs w:val="32"/>
        </w:rPr>
        <w:t>-WITH COUNTRIES OUTSIDE THE EU FOR WHICH</w:t>
      </w:r>
      <w:r w:rsidR="007C7E97">
        <w:rPr>
          <w:rFonts w:ascii="Calibri" w:hAnsi="Calibri"/>
          <w:b/>
          <w:sz w:val="32"/>
          <w:szCs w:val="32"/>
        </w:rPr>
        <w:t xml:space="preserve"> </w:t>
      </w:r>
      <w:commentRangeStart w:id="1"/>
      <w:r>
        <w:rPr>
          <w:rFonts w:ascii="Calibri" w:hAnsi="Calibri"/>
          <w:b/>
          <w:sz w:val="32"/>
          <w:szCs w:val="32"/>
        </w:rPr>
        <w:t xml:space="preserve">THE EUROPEAN COMMISSION HAS ISSUED A DECISION ON SECURE DATA PROCESSING </w:t>
      </w:r>
      <w:commentRangeEnd w:id="1"/>
      <w:r w:rsidR="009C5E79">
        <w:rPr>
          <w:rStyle w:val="Odwoaniedokomentarza"/>
        </w:rPr>
        <w:commentReference w:id="1"/>
      </w:r>
    </w:p>
    <w:bookmarkEnd w:id="0"/>
    <w:p w14:paraId="618925D2" w14:textId="12602334" w:rsidR="003B7611" w:rsidRPr="00577884" w:rsidRDefault="003B7611" w:rsidP="003B7611">
      <w:pPr>
        <w:tabs>
          <w:tab w:val="num" w:pos="720"/>
        </w:tabs>
        <w:spacing w:after="0" w:line="360" w:lineRule="auto"/>
        <w:ind w:hanging="360"/>
        <w:contextualSpacing/>
        <w:jc w:val="both"/>
        <w:rPr>
          <w:rFonts w:ascii="Calibri" w:eastAsia="Times New Roman" w:hAnsi="Calibri" w:cs="Calibri"/>
          <w:sz w:val="24"/>
          <w:szCs w:val="24"/>
          <w:lang w:eastAsia="pl-PL"/>
        </w:rPr>
      </w:pPr>
    </w:p>
    <w:p w14:paraId="0D3342EF" w14:textId="66D2FDA4" w:rsidR="004643B8" w:rsidRPr="00577884" w:rsidRDefault="004643B8" w:rsidP="003B7611">
      <w:pPr>
        <w:tabs>
          <w:tab w:val="num" w:pos="720"/>
        </w:tabs>
        <w:spacing w:after="0" w:line="360" w:lineRule="auto"/>
        <w:ind w:hanging="360"/>
        <w:contextualSpacing/>
        <w:jc w:val="both"/>
        <w:rPr>
          <w:rFonts w:ascii="Calibri" w:eastAsia="Times New Roman" w:hAnsi="Calibri" w:cs="Calibri"/>
          <w:b/>
          <w:color w:val="FF0000"/>
          <w:sz w:val="24"/>
          <w:szCs w:val="24"/>
        </w:rPr>
      </w:pPr>
      <w:r>
        <w:rPr>
          <w:rFonts w:ascii="Calibri" w:hAnsi="Calibri"/>
          <w:sz w:val="24"/>
          <w:szCs w:val="24"/>
        </w:rPr>
        <w:tab/>
      </w:r>
    </w:p>
    <w:p w14:paraId="657CC35A" w14:textId="2135F344" w:rsidR="003B7611" w:rsidRPr="00577884" w:rsidRDefault="004643B8" w:rsidP="003B7611">
      <w:pPr>
        <w:tabs>
          <w:tab w:val="num" w:pos="720"/>
        </w:tabs>
        <w:spacing w:after="0" w:line="360" w:lineRule="auto"/>
        <w:ind w:hanging="360"/>
        <w:contextualSpacing/>
        <w:jc w:val="both"/>
        <w:rPr>
          <w:rFonts w:ascii="Calibri" w:eastAsia="Times New Roman" w:hAnsi="Calibri" w:cs="Calibri"/>
          <w:color w:val="FF0000"/>
          <w:sz w:val="24"/>
          <w:szCs w:val="24"/>
        </w:rPr>
      </w:pPr>
      <w:commentRangeStart w:id="2"/>
      <w:r>
        <w:rPr>
          <w:rFonts w:ascii="Calibri" w:hAnsi="Calibri"/>
          <w:sz w:val="24"/>
          <w:szCs w:val="24"/>
        </w:rPr>
        <w:tab/>
      </w:r>
      <w:r>
        <w:rPr>
          <w:rFonts w:ascii="Calibri" w:hAnsi="Calibri"/>
          <w:color w:val="FF0000"/>
          <w:sz w:val="24"/>
          <w:szCs w:val="24"/>
        </w:rPr>
        <w:t>§ PERSONAL DATA PROTECTION</w:t>
      </w:r>
    </w:p>
    <w:p w14:paraId="7E5F3A45" w14:textId="0260AB8B" w:rsidR="003B7611" w:rsidRPr="00577884" w:rsidRDefault="003B7611" w:rsidP="00790786">
      <w:pPr>
        <w:pStyle w:val="Akapitzlist"/>
        <w:numPr>
          <w:ilvl w:val="0"/>
          <w:numId w:val="9"/>
        </w:numPr>
        <w:tabs>
          <w:tab w:val="num" w:pos="720"/>
        </w:tabs>
        <w:spacing w:after="0" w:line="276" w:lineRule="auto"/>
        <w:jc w:val="both"/>
        <w:rPr>
          <w:rFonts w:ascii="Calibri" w:eastAsia="Times New Roman" w:hAnsi="Calibri" w:cs="Calibri"/>
          <w:color w:val="FF0000"/>
        </w:rPr>
      </w:pPr>
      <w:r>
        <w:rPr>
          <w:rFonts w:ascii="Calibri" w:hAnsi="Calibri"/>
          <w:color w:val="FF0000"/>
        </w:rPr>
        <w:t xml:space="preserve">The Parties undertake to comply with the provisions on personal data protection, </w:t>
      </w:r>
      <w:r>
        <w:rPr>
          <w:rFonts w:ascii="Calibri" w:hAnsi="Calibri"/>
          <w:iCs/>
          <w:color w:val="FF0000"/>
        </w:rPr>
        <w:t xml:space="preserve">in particular </w:t>
      </w:r>
      <w:r>
        <w:rPr>
          <w:rFonts w:ascii="Calibri" w:hAnsi="Calibri"/>
          <w:bCs/>
          <w:color w:val="FF0000"/>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w:t>
      </w:r>
    </w:p>
    <w:p w14:paraId="264B5C75" w14:textId="77777777" w:rsidR="003B7611" w:rsidRPr="00577884" w:rsidRDefault="003B7611" w:rsidP="00790786">
      <w:pPr>
        <w:pStyle w:val="Akapitzlist"/>
        <w:numPr>
          <w:ilvl w:val="0"/>
          <w:numId w:val="9"/>
        </w:numPr>
        <w:tabs>
          <w:tab w:val="num" w:pos="720"/>
        </w:tabs>
        <w:spacing w:after="0" w:line="276" w:lineRule="auto"/>
        <w:jc w:val="both"/>
        <w:rPr>
          <w:rFonts w:ascii="Calibri" w:eastAsia="Times New Roman" w:hAnsi="Calibri" w:cs="Calibri"/>
          <w:color w:val="FF0000"/>
        </w:rPr>
      </w:pPr>
      <w:r>
        <w:rPr>
          <w:rFonts w:ascii="Calibri" w:hAnsi="Calibri"/>
          <w:color w:val="FF0000"/>
        </w:rPr>
        <w:t xml:space="preserve">The parties undertake to </w:t>
      </w:r>
      <w:r>
        <w:rPr>
          <w:rFonts w:ascii="Calibri" w:hAnsi="Calibri"/>
          <w:iCs/>
          <w:color w:val="FF0000"/>
        </w:rPr>
        <w:t>safeguard and keep confidential - both during and after the termination of the agreement - the personal data to which they gain access in connection with the performance of the agreement.</w:t>
      </w:r>
    </w:p>
    <w:p w14:paraId="3426C3DB" w14:textId="02EF80F1" w:rsidR="003B7611" w:rsidRPr="00577884" w:rsidRDefault="003B7611" w:rsidP="00790786">
      <w:pPr>
        <w:pStyle w:val="Akapitzlist"/>
        <w:numPr>
          <w:ilvl w:val="0"/>
          <w:numId w:val="9"/>
        </w:numPr>
        <w:tabs>
          <w:tab w:val="num" w:pos="720"/>
        </w:tabs>
        <w:spacing w:after="0" w:line="276" w:lineRule="auto"/>
        <w:jc w:val="both"/>
        <w:rPr>
          <w:rFonts w:ascii="Calibri" w:eastAsia="Times New Roman" w:hAnsi="Calibri" w:cs="Calibri"/>
          <w:color w:val="FF0000"/>
        </w:rPr>
      </w:pPr>
      <w:r>
        <w:rPr>
          <w:rFonts w:ascii="Calibri" w:hAnsi="Calibri"/>
          <w:color w:val="FF0000"/>
        </w:rPr>
        <w:t>The Parties undertake to protect data against unauthorised or unlawful processing and against accidental loss, destruction or damage, by means of appropriate technical or organisational measures.</w:t>
      </w:r>
    </w:p>
    <w:p w14:paraId="393245A3" w14:textId="4C2CE7D1" w:rsidR="00D10704" w:rsidRPr="00577884" w:rsidRDefault="00D10704" w:rsidP="00790786">
      <w:pPr>
        <w:pStyle w:val="Akapitzlist"/>
        <w:numPr>
          <w:ilvl w:val="0"/>
          <w:numId w:val="9"/>
        </w:numPr>
        <w:tabs>
          <w:tab w:val="num" w:pos="720"/>
        </w:tabs>
        <w:spacing w:after="0" w:line="276" w:lineRule="auto"/>
        <w:jc w:val="both"/>
        <w:rPr>
          <w:rFonts w:ascii="Calibri" w:eastAsia="Times New Roman" w:hAnsi="Calibri" w:cs="Calibri"/>
          <w:color w:val="FF0000"/>
        </w:rPr>
      </w:pPr>
      <w:r>
        <w:rPr>
          <w:rFonts w:ascii="Calibri" w:hAnsi="Calibri"/>
          <w:color w:val="FF0000"/>
        </w:rPr>
        <w:t>The Medical University of Bialystok will only provide such data as is necessary for the performance of the agreement.</w:t>
      </w:r>
    </w:p>
    <w:p w14:paraId="01A3AAD3" w14:textId="77777777" w:rsidR="00D10704" w:rsidRPr="00577884" w:rsidRDefault="00D10704" w:rsidP="00D10704">
      <w:pPr>
        <w:pStyle w:val="Akapitzlist"/>
        <w:numPr>
          <w:ilvl w:val="0"/>
          <w:numId w:val="9"/>
        </w:numPr>
        <w:spacing w:line="276" w:lineRule="auto"/>
        <w:jc w:val="both"/>
        <w:rPr>
          <w:rFonts w:ascii="Calibri" w:hAnsi="Calibri" w:cs="Calibri"/>
          <w:color w:val="FF0000"/>
        </w:rPr>
      </w:pPr>
      <w:r>
        <w:rPr>
          <w:rFonts w:ascii="Calibri" w:hAnsi="Calibri"/>
          <w:color w:val="FF0000"/>
        </w:rPr>
        <w:t xml:space="preserve">Information about the processing by the Medical University of Bialystok of personal data of the Party to the Agreement, persons representing the Party to the Agreement and persons involved in the performance of the agreement, in accordance with Article 13 or 14 of the GDPR, can be found on the website of the Medical University of Bialystok www.umb.edu.pl/rodo. The Party to the Agreement undertakes to provide information to all persons whose personal data it provides to the Medical University of Bialystok. </w:t>
      </w:r>
      <w:commentRangeEnd w:id="2"/>
      <w:r w:rsidR="00EE5816">
        <w:rPr>
          <w:rStyle w:val="Odwoaniedokomentarza"/>
        </w:rPr>
        <w:commentReference w:id="2"/>
      </w:r>
    </w:p>
    <w:p w14:paraId="3BDABEF0" w14:textId="77777777" w:rsidR="00D10704" w:rsidRPr="00577884" w:rsidRDefault="00D10704" w:rsidP="003B7611">
      <w:pPr>
        <w:pStyle w:val="Akapitzlist"/>
        <w:rPr>
          <w:b/>
        </w:rPr>
      </w:pPr>
    </w:p>
    <w:p w14:paraId="78090DE7" w14:textId="77777777" w:rsidR="00D10704" w:rsidRDefault="00D10704" w:rsidP="003B7611">
      <w:pPr>
        <w:pStyle w:val="Akapitzlist"/>
        <w:rPr>
          <w:b/>
          <w:highlight w:val="yellow"/>
        </w:rPr>
      </w:pPr>
    </w:p>
    <w:p w14:paraId="2E88C65F" w14:textId="77777777" w:rsidR="00D10704" w:rsidRDefault="00D10704" w:rsidP="003B7611">
      <w:pPr>
        <w:pStyle w:val="Akapitzlist"/>
        <w:rPr>
          <w:b/>
          <w:highlight w:val="yellow"/>
        </w:rPr>
      </w:pPr>
    </w:p>
    <w:p w14:paraId="33E9C359" w14:textId="77777777" w:rsidR="00D10704" w:rsidRPr="00577884" w:rsidRDefault="00D10704" w:rsidP="003B7611">
      <w:pPr>
        <w:pStyle w:val="Akapitzlist"/>
        <w:rPr>
          <w:b/>
        </w:rPr>
      </w:pPr>
    </w:p>
    <w:p w14:paraId="27A8BDA8" w14:textId="77777777" w:rsidR="00D10704" w:rsidRPr="00577884" w:rsidRDefault="00D10704" w:rsidP="003B7611">
      <w:pPr>
        <w:pStyle w:val="Akapitzlist"/>
        <w:rPr>
          <w:b/>
        </w:rPr>
      </w:pPr>
    </w:p>
    <w:p w14:paraId="4355DA03" w14:textId="29F7EF6C" w:rsidR="004643B8" w:rsidRPr="00577884" w:rsidRDefault="004643B8" w:rsidP="003B7611">
      <w:pPr>
        <w:pStyle w:val="Akapitzlist"/>
        <w:rPr>
          <w:b/>
        </w:rPr>
      </w:pPr>
      <w:commentRangeStart w:id="3"/>
      <w:r>
        <w:rPr>
          <w:b/>
        </w:rPr>
        <w:t>AVAILABLE OPTIONS:</w:t>
      </w:r>
      <w:commentRangeEnd w:id="3"/>
      <w:r w:rsidR="00EE5816">
        <w:rPr>
          <w:rStyle w:val="Odwoaniedokomentarza"/>
        </w:rPr>
        <w:commentReference w:id="3"/>
      </w:r>
    </w:p>
    <w:p w14:paraId="1A270162" w14:textId="77777777" w:rsidR="00CF5A63" w:rsidRPr="00577884" w:rsidRDefault="00CF5A63" w:rsidP="003B7611">
      <w:pPr>
        <w:pStyle w:val="Akapitzlist"/>
        <w:rPr>
          <w:b/>
        </w:rPr>
      </w:pPr>
    </w:p>
    <w:p w14:paraId="2A2F8016" w14:textId="0EACD9D4" w:rsidR="003B7611" w:rsidRPr="00577884" w:rsidRDefault="003B7611" w:rsidP="003B7611">
      <w:pPr>
        <w:pStyle w:val="Akapitzlist"/>
        <w:rPr>
          <w:b/>
        </w:rPr>
      </w:pPr>
      <w:commentRangeStart w:id="4"/>
      <w:r>
        <w:rPr>
          <w:b/>
        </w:rPr>
        <w:t>OPTION 1 - WITHOUT PERSONAL DATA</w:t>
      </w:r>
      <w:commentRangeEnd w:id="4"/>
      <w:r w:rsidR="001D17C4">
        <w:rPr>
          <w:rStyle w:val="Odwoaniedokomentarza"/>
        </w:rPr>
        <w:commentReference w:id="4"/>
      </w:r>
    </w:p>
    <w:p w14:paraId="7B518FB9" w14:textId="035D376B" w:rsidR="003B7611" w:rsidRPr="00577884" w:rsidRDefault="00483DA7" w:rsidP="00483DA7">
      <w:pPr>
        <w:spacing w:line="256" w:lineRule="auto"/>
      </w:pPr>
      <w:r>
        <w:t>5. There will be no transfer of personal data as part of the performance of the agreement, other than the data referred to in paragraph 4 of this section.</w:t>
      </w:r>
    </w:p>
    <w:p w14:paraId="676548A2" w14:textId="4B3DA2E0" w:rsidR="000A4C0F" w:rsidRPr="00577884" w:rsidRDefault="00483DA7" w:rsidP="00483DA7">
      <w:pPr>
        <w:spacing w:line="256" w:lineRule="auto"/>
      </w:pPr>
      <w:r>
        <w:t>6. 6. the performance of the agreement will include the transfer of ................................</w:t>
      </w:r>
    </w:p>
    <w:p w14:paraId="14F3B681" w14:textId="2D1AFC42" w:rsidR="000A4C0F" w:rsidRPr="00577884" w:rsidRDefault="00483DA7" w:rsidP="00483DA7">
      <w:pPr>
        <w:spacing w:line="256" w:lineRule="auto"/>
      </w:pPr>
      <w:r>
        <w:lastRenderedPageBreak/>
        <w:t>7. A model agreement for the transfer of biological material is attached as Appendix no. ............. to this agreement.</w:t>
      </w:r>
    </w:p>
    <w:p w14:paraId="0303B435" w14:textId="77777777" w:rsidR="003B7611" w:rsidRDefault="003B7611" w:rsidP="003B7611">
      <w:pPr>
        <w:ind w:firstLine="708"/>
      </w:pPr>
    </w:p>
    <w:p w14:paraId="4024FC71" w14:textId="05349B3D" w:rsidR="003B7611" w:rsidRPr="00577884" w:rsidRDefault="00281F33" w:rsidP="003B7611">
      <w:pPr>
        <w:ind w:firstLine="708"/>
        <w:rPr>
          <w:b/>
        </w:rPr>
      </w:pPr>
      <w:commentRangeStart w:id="5"/>
      <w:r>
        <w:rPr>
          <w:b/>
        </w:rPr>
        <w:t>OPTION 2 - DISCLOSURE OF PERSONAL DATA</w:t>
      </w:r>
      <w:commentRangeEnd w:id="5"/>
      <w:r w:rsidR="007A6221">
        <w:rPr>
          <w:rStyle w:val="Odwoaniedokomentarza"/>
        </w:rPr>
        <w:commentReference w:id="5"/>
      </w:r>
    </w:p>
    <w:p w14:paraId="18291800" w14:textId="5B55F302" w:rsidR="000A4C0F" w:rsidRPr="00577884" w:rsidRDefault="00483DA7" w:rsidP="00483DA7">
      <w:pPr>
        <w:spacing w:line="256" w:lineRule="auto"/>
      </w:pPr>
      <w:r>
        <w:t xml:space="preserve">5. (5) The performance of the agreement will require the transfer of personal data between the contracting parties, other than the data referred to in paragraph 4 of this section. </w:t>
      </w:r>
    </w:p>
    <w:p w14:paraId="0FC3B7A3" w14:textId="0A04A683" w:rsidR="003B7611" w:rsidRPr="00577884" w:rsidRDefault="00483DA7" w:rsidP="00483DA7">
      <w:pPr>
        <w:spacing w:line="256" w:lineRule="auto"/>
      </w:pPr>
      <w:r>
        <w:t>6. As a result of the execution of this agreement, personal data will be made available by the Medical University of Bialystok to the Recipient, who by law will become their controller within the meaning of Article 4(7) of the GDPR.</w:t>
      </w:r>
    </w:p>
    <w:p w14:paraId="6268964B" w14:textId="241E7D4C" w:rsidR="003B7611" w:rsidRPr="00577884" w:rsidRDefault="000A4C0F" w:rsidP="00483DA7">
      <w:pPr>
        <w:ind w:firstLine="708"/>
        <w:rPr>
          <w:b/>
        </w:rPr>
      </w:pPr>
      <w:commentRangeStart w:id="6"/>
      <w:r>
        <w:rPr>
          <w:b/>
        </w:rPr>
        <w:t>OPTION 3 - ENTRUSTMENT OF PERSONAL DATA</w:t>
      </w:r>
    </w:p>
    <w:p w14:paraId="4FC935FB" w14:textId="10579414" w:rsidR="00EF6466" w:rsidRPr="00577884" w:rsidRDefault="00483DA7" w:rsidP="00483DA7">
      <w:r>
        <w:t>5. The performance of the agreement will require the transfer of personal data between the contracting parties, other than the data referred to in paragraph 4 of this section.</w:t>
      </w:r>
    </w:p>
    <w:p w14:paraId="1D46C65F" w14:textId="1445C623" w:rsidR="00EF6466" w:rsidRPr="00577884" w:rsidRDefault="00483DA7" w:rsidP="00483DA7">
      <w:r>
        <w:t>6. The implementation of this agreement will result in the entrustment by the Medical University of Bialystok of the processing of personal data to the Recipient.</w:t>
      </w:r>
    </w:p>
    <w:p w14:paraId="4ADFBDA2" w14:textId="77777777" w:rsidR="00CF5A63" w:rsidRPr="00577884" w:rsidRDefault="00483DA7" w:rsidP="00483DA7">
      <w:r>
        <w:t>7. 7 In implementing their obligations under the GDPR, the parties to the agreement will enter into an agreement for the entrustment of the processing of personal data.</w:t>
      </w:r>
    </w:p>
    <w:p w14:paraId="17A9016A" w14:textId="7AC0D225" w:rsidR="003B7611" w:rsidRPr="00577884" w:rsidRDefault="00CF5A63" w:rsidP="00483DA7">
      <w:r>
        <w:t xml:space="preserve">8. 8. a model agreement on entrusting the processing of personal data constitutes attachment No. ..... to this Agreement. </w:t>
      </w:r>
      <w:commentRangeEnd w:id="6"/>
      <w:r w:rsidR="000A0F79">
        <w:rPr>
          <w:rStyle w:val="Odwoaniedokomentarza"/>
        </w:rPr>
        <w:commentReference w:id="6"/>
      </w:r>
    </w:p>
    <w:p w14:paraId="68A05A60" w14:textId="77777777" w:rsidR="00483DA7" w:rsidRPr="00577884" w:rsidRDefault="00483DA7" w:rsidP="003B7611"/>
    <w:p w14:paraId="3CD42414" w14:textId="77777777" w:rsidR="00483DA7" w:rsidRPr="00577884" w:rsidRDefault="00483DA7" w:rsidP="00483DA7">
      <w:pPr>
        <w:ind w:firstLine="708"/>
        <w:rPr>
          <w:b/>
        </w:rPr>
      </w:pPr>
      <w:commentRangeStart w:id="7"/>
      <w:r>
        <w:rPr>
          <w:b/>
        </w:rPr>
        <w:t>OPTION 4 - JOINT MANAGEMENT OF PERSONAL DATA</w:t>
      </w:r>
    </w:p>
    <w:p w14:paraId="76FB20FD" w14:textId="2E3BDE18" w:rsidR="003B7611" w:rsidRPr="00577884" w:rsidRDefault="00483DA7" w:rsidP="00CF5A63">
      <w:pPr>
        <w:jc w:val="both"/>
      </w:pPr>
      <w:r>
        <w:t>5.  The performance of the agreement will require the transfer of personal data between the contracting parties, other than the data referred to in paragraph 4 of this section.</w:t>
      </w:r>
    </w:p>
    <w:p w14:paraId="1B2D8818" w14:textId="60598845" w:rsidR="003B7611" w:rsidRPr="00577884" w:rsidRDefault="00483DA7" w:rsidP="00CF5A63">
      <w:pPr>
        <w:jc w:val="both"/>
      </w:pPr>
      <w:r>
        <w:t>6. 6 As a result of the implementation of this Agreement, the parties will jointly administer personal data and become Co-Data Controllers within the meaning of Article 26(1) of the GDPR.</w:t>
      </w:r>
    </w:p>
    <w:p w14:paraId="3CCAAFB3" w14:textId="4C4CF84F" w:rsidR="003B7611" w:rsidRPr="00577884" w:rsidRDefault="00CF5A63" w:rsidP="00CF5A63">
      <w:pPr>
        <w:jc w:val="both"/>
      </w:pPr>
      <w:r>
        <w:t>7. The Parties to the Agreement, within the framework of joint arrangements referred to in Article 26(1), shall regulate issues concerning the processing of personal data, including the determination of their respective responsibilities for the performance of their obligations under the GDPR, and conclude an agreement on the co-management of personal data.</w:t>
      </w:r>
    </w:p>
    <w:p w14:paraId="450DC6E5" w14:textId="60C8C76A" w:rsidR="00CF5A63" w:rsidRDefault="00CF5A63" w:rsidP="00CF5A63">
      <w:pPr>
        <w:jc w:val="both"/>
      </w:pPr>
      <w:r>
        <w:t>8. 8. a model agreement on personal data co-management is enclosed as Attachment No. ..... to this Agreement.</w:t>
      </w:r>
      <w:commentRangeEnd w:id="7"/>
      <w:r w:rsidR="00800B26">
        <w:rPr>
          <w:rStyle w:val="Odwoaniedokomentarza"/>
        </w:rPr>
        <w:commentReference w:id="7"/>
      </w:r>
      <w:bookmarkStart w:id="8" w:name="_GoBack"/>
      <w:bookmarkEnd w:id="8"/>
    </w:p>
    <w:sectPr w:rsidR="00CF5A63" w:rsidSect="00473558">
      <w:footerReference w:type="default" r:id="rId11"/>
      <w:pgSz w:w="11906" w:h="16838"/>
      <w:pgMar w:top="1417" w:right="1417" w:bottom="851"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wid Kowalski" w:date="2022-03-15T15:15:00Z" w:initials="DK">
    <w:p w14:paraId="28110798" w14:textId="0F996C0D" w:rsidR="00F55FCA" w:rsidRDefault="009C5E79" w:rsidP="00F55FCA">
      <w:pPr>
        <w:pStyle w:val="Tekstkomentarza"/>
      </w:pPr>
      <w:r>
        <w:rPr>
          <w:rStyle w:val="Odwoaniedokomentarza"/>
        </w:rPr>
        <w:annotationRef/>
      </w:r>
      <w:r w:rsidR="00F55FCA">
        <w:t>As at today, these INCLUDE: Andorra, Argentina, Canada, Faroe Islands, Guernsey, Israel, Isle of Man, Japan, Jersey, New Zealand, Switzerland, Uruguay, Republic of Korea, United Kingdom</w:t>
      </w:r>
    </w:p>
    <w:p w14:paraId="64BFF1E0" w14:textId="6D95FEA4" w:rsidR="009C5E79" w:rsidRDefault="00F55FCA" w:rsidP="00F55FCA">
      <w:pPr>
        <w:pStyle w:val="Tekstkomentarza"/>
      </w:pPr>
      <w:r>
        <w:t>HYPERLINK https://ec.europa.eu/info/law/law-topic/data-protection/international-dimension-data-protection/adequacy-decisions_en</w:t>
      </w:r>
    </w:p>
  </w:comment>
  <w:comment w:id="2" w:author="Dawid Kowalski" w:date="2022-03-15T15:16:00Z" w:initials="DK">
    <w:p w14:paraId="1DAF7C20" w14:textId="006C73ED" w:rsidR="00EE5816" w:rsidRDefault="00EE5816">
      <w:pPr>
        <w:pStyle w:val="Tekstkomentarza"/>
      </w:pPr>
      <w:r>
        <w:rPr>
          <w:rStyle w:val="Odwoaniedokomentarza"/>
        </w:rPr>
        <w:annotationRef/>
      </w:r>
      <w:r>
        <w:t>These provisions in general to all agreements</w:t>
      </w:r>
    </w:p>
  </w:comment>
  <w:comment w:id="3" w:author="Dawid Kowalski" w:date="2022-03-15T15:16:00Z" w:initials="DK">
    <w:p w14:paraId="5BA8047E" w14:textId="060C0BCC" w:rsidR="00EE5816" w:rsidRDefault="00EE5816">
      <w:pPr>
        <w:pStyle w:val="Tekstkomentarza"/>
      </w:pPr>
      <w:r>
        <w:rPr>
          <w:rStyle w:val="Odwoaniedokomentarza"/>
        </w:rPr>
        <w:annotationRef/>
      </w:r>
      <w:r w:rsidR="001D17C4" w:rsidRPr="001D17C4">
        <w:t xml:space="preserve">THE </w:t>
      </w:r>
      <w:r w:rsidR="001D17C4">
        <w:t>VARIANTS SPECIFIED BELOW</w:t>
      </w:r>
      <w:r w:rsidR="001D17C4" w:rsidRPr="001D17C4">
        <w:t xml:space="preserve"> TO BE SELECTED DEPENDING ON THE SUBJECT OF THE </w:t>
      </w:r>
      <w:r w:rsidR="001D17C4">
        <w:t>AGREEMENT</w:t>
      </w:r>
      <w:r w:rsidR="001D17C4" w:rsidRPr="001D17C4">
        <w:t xml:space="preserve"> AND THE TYPE OF DATA TO BE </w:t>
      </w:r>
      <w:r w:rsidR="001D17C4">
        <w:t>SUBMITTED</w:t>
      </w:r>
    </w:p>
  </w:comment>
  <w:comment w:id="4" w:author="Dawid Kowalski" w:date="2022-03-15T15:17:00Z" w:initials="DK">
    <w:p w14:paraId="172D4F9A" w14:textId="3B934062" w:rsidR="001D17C4" w:rsidRDefault="001D17C4">
      <w:pPr>
        <w:pStyle w:val="Tekstkomentarza"/>
      </w:pPr>
      <w:r>
        <w:rPr>
          <w:rStyle w:val="Odwoaniedokomentarza"/>
        </w:rPr>
        <w:annotationRef/>
      </w:r>
      <w:r w:rsidR="004F185D" w:rsidRPr="004F185D">
        <w:t xml:space="preserve">This option relates to </w:t>
      </w:r>
      <w:r w:rsidR="004F185D">
        <w:t>a</w:t>
      </w:r>
      <w:r w:rsidR="004F185D" w:rsidRPr="004F185D">
        <w:t xml:space="preserve"> situation whe</w:t>
      </w:r>
      <w:r w:rsidR="004F185D">
        <w:t>re</w:t>
      </w:r>
      <w:r w:rsidR="004F185D" w:rsidRPr="004F185D">
        <w:t xml:space="preserve"> </w:t>
      </w:r>
      <w:r w:rsidR="004F185D">
        <w:t>personal data are not transferred</w:t>
      </w:r>
      <w:r w:rsidR="004F185D" w:rsidRPr="004F185D">
        <w:t>, i.e. either the data are anonymous or there is no data (there is only e.g. a biological sample which does not identify a specific person in any way)</w:t>
      </w:r>
    </w:p>
  </w:comment>
  <w:comment w:id="5" w:author="Dawid Kowalski" w:date="2022-03-15T15:19:00Z" w:initials="DK">
    <w:p w14:paraId="58F729FD" w14:textId="079FD276" w:rsidR="00CA7D8A" w:rsidRDefault="007A6221" w:rsidP="00CA7D8A">
      <w:pPr>
        <w:pStyle w:val="Tekstkomentarza"/>
      </w:pPr>
      <w:r>
        <w:rPr>
          <w:rStyle w:val="Odwoaniedokomentarza"/>
        </w:rPr>
        <w:annotationRef/>
      </w:r>
      <w:r w:rsidR="00CA7D8A">
        <w:t xml:space="preserve">This </w:t>
      </w:r>
      <w:r w:rsidR="002D643A">
        <w:t>option</w:t>
      </w:r>
      <w:r w:rsidR="00CA7D8A">
        <w:t xml:space="preserve"> regards the disclosure of personal data where the entity receiving the data also becomes the </w:t>
      </w:r>
      <w:r w:rsidR="00172C39">
        <w:t xml:space="preserve">data </w:t>
      </w:r>
      <w:r w:rsidR="00CA7D8A">
        <w:t>controller</w:t>
      </w:r>
    </w:p>
    <w:p w14:paraId="0A4014CB" w14:textId="57942B33" w:rsidR="00CA7D8A" w:rsidRDefault="00CA7D8A" w:rsidP="00CA7D8A">
      <w:pPr>
        <w:pStyle w:val="Tekstkomentarza"/>
      </w:pPr>
      <w:r>
        <w:t xml:space="preserve">The </w:t>
      </w:r>
      <w:r w:rsidR="00172C39">
        <w:t xml:space="preserve">data </w:t>
      </w:r>
      <w:r>
        <w:t xml:space="preserve">controller is the </w:t>
      </w:r>
      <w:r w:rsidR="00172C39">
        <w:t>entity which</w:t>
      </w:r>
      <w:r>
        <w:t xml:space="preserve"> decides about purposes and means of data processing </w:t>
      </w:r>
    </w:p>
    <w:p w14:paraId="576A610C" w14:textId="4B869C11" w:rsidR="00CA7D8A" w:rsidRDefault="00CA7D8A" w:rsidP="00CA7D8A">
      <w:pPr>
        <w:pStyle w:val="Tekstkomentarza"/>
      </w:pPr>
      <w:r>
        <w:t xml:space="preserve">E.g. the University transfers personal data to the external entity and in a way </w:t>
      </w:r>
      <w:r w:rsidR="00172C39">
        <w:t>“</w:t>
      </w:r>
      <w:r>
        <w:t>loses control</w:t>
      </w:r>
      <w:r w:rsidR="00172C39">
        <w:t>”</w:t>
      </w:r>
      <w:r>
        <w:t xml:space="preserve"> over them </w:t>
      </w:r>
    </w:p>
    <w:p w14:paraId="2719F722" w14:textId="77777777" w:rsidR="00CA7D8A" w:rsidRDefault="00CA7D8A" w:rsidP="00CA7D8A">
      <w:pPr>
        <w:pStyle w:val="Tekstkomentarza"/>
      </w:pPr>
      <w:r>
        <w:t>Because the external entity decides about the data further at home</w:t>
      </w:r>
    </w:p>
    <w:p w14:paraId="2A2A8ACD" w14:textId="77777777" w:rsidR="00CA7D8A" w:rsidRDefault="00CA7D8A" w:rsidP="00CA7D8A">
      <w:pPr>
        <w:pStyle w:val="Tekstkomentarza"/>
      </w:pPr>
      <w:r>
        <w:t xml:space="preserve">The University decides about the data at home and the External Entity decides about it at home </w:t>
      </w:r>
    </w:p>
    <w:p w14:paraId="3D1B9DD5" w14:textId="77777777" w:rsidR="00CA7D8A" w:rsidRDefault="00CA7D8A" w:rsidP="00CA7D8A">
      <w:pPr>
        <w:pStyle w:val="Tekstkomentarza"/>
      </w:pPr>
      <w:r>
        <w:t>They are separate controllers - each pursues its own objectives</w:t>
      </w:r>
    </w:p>
    <w:p w14:paraId="6782D988" w14:textId="061E0D00" w:rsidR="00CA7D8A" w:rsidRDefault="00172C39" w:rsidP="00CA7D8A">
      <w:pPr>
        <w:pStyle w:val="Tekstkomentarza"/>
      </w:pPr>
      <w:r>
        <w:br/>
      </w:r>
      <w:r w:rsidR="00CA7D8A">
        <w:t>Examples:</w:t>
      </w:r>
    </w:p>
    <w:p w14:paraId="21E0187D" w14:textId="77777777" w:rsidR="00CA7D8A" w:rsidRDefault="00CA7D8A" w:rsidP="00CA7D8A">
      <w:pPr>
        <w:pStyle w:val="Tekstkomentarza"/>
      </w:pPr>
      <w:r>
        <w:t>The University makes personal data of a research participant available to the hospital in order to perform the research, but this participant will also be a patient of the hospital, and the hospital by law has its obligations, the University gets the results but has nothing more to this data because the hospital has statutory obligations e.g. to keep patient records</w:t>
      </w:r>
    </w:p>
    <w:p w14:paraId="03B3DBE8" w14:textId="2D184456" w:rsidR="007A6221" w:rsidRDefault="00CA7D8A" w:rsidP="00CA7D8A">
      <w:pPr>
        <w:pStyle w:val="Tekstkomentarza"/>
      </w:pPr>
      <w:r>
        <w:t>Similarly, it may be the case with a laboratory</w:t>
      </w:r>
    </w:p>
  </w:comment>
  <w:comment w:id="6" w:author="Dawid Kowalski" w:date="2022-03-15T15:20:00Z" w:initials="DK">
    <w:p w14:paraId="53325301" w14:textId="21470537" w:rsidR="000A0F79" w:rsidRPr="000A0F79" w:rsidRDefault="000A0F79">
      <w:pPr>
        <w:pStyle w:val="Tekstkomentarza"/>
        <w:rPr>
          <w:lang w:val="en-US"/>
        </w:rPr>
      </w:pPr>
      <w:r>
        <w:rPr>
          <w:rStyle w:val="Odwoaniedokomentarza"/>
        </w:rPr>
        <w:annotationRef/>
      </w:r>
      <w:r w:rsidRPr="000A0F79">
        <w:rPr>
          <w:lang w:val="en-US"/>
        </w:rPr>
        <w:t xml:space="preserve">Data outsourcing </w:t>
      </w:r>
      <w:r>
        <w:rPr>
          <w:lang w:val="en-US"/>
        </w:rPr>
        <w:t>occurs in a situation where</w:t>
      </w:r>
      <w:r w:rsidRPr="000A0F79">
        <w:rPr>
          <w:lang w:val="en-US"/>
        </w:rPr>
        <w:t xml:space="preserve"> the University commissions</w:t>
      </w:r>
      <w:r>
        <w:rPr>
          <w:lang w:val="en-US"/>
        </w:rPr>
        <w:t xml:space="preserve"> a specific</w:t>
      </w:r>
      <w:r w:rsidRPr="000A0F79">
        <w:rPr>
          <w:lang w:val="en-US"/>
        </w:rPr>
        <w:t xml:space="preserve"> task to be performed on personal data </w:t>
      </w:r>
      <w:r w:rsidR="00CD4995">
        <w:rPr>
          <w:lang w:val="en-US"/>
        </w:rPr>
        <w:t>by</w:t>
      </w:r>
      <w:r w:rsidRPr="000A0F79">
        <w:rPr>
          <w:lang w:val="en-US"/>
        </w:rPr>
        <w:t xml:space="preserve"> an external entity, the external entity exclusively performs it on the instruction of the University, it does not decide itself about the purposes and methods of processing after the task is performed, depending on the decision of the University, it returns or deletes the data</w:t>
      </w:r>
    </w:p>
  </w:comment>
  <w:comment w:id="7" w:author="Dawid Kowalski" w:date="2022-03-15T15:22:00Z" w:initials="DK">
    <w:p w14:paraId="13D8D6E2" w14:textId="55BD5CCE" w:rsidR="00800B26" w:rsidRDefault="00800B26" w:rsidP="00800B26">
      <w:pPr>
        <w:pStyle w:val="Tekstkomentarza"/>
      </w:pPr>
      <w:r>
        <w:rPr>
          <w:rStyle w:val="Odwoaniedokomentarza"/>
        </w:rPr>
        <w:annotationRef/>
      </w:r>
      <w:r w:rsidR="002E5A9F">
        <w:t>Co-management</w:t>
      </w:r>
      <w:r>
        <w:t xml:space="preserve"> occurs when </w:t>
      </w:r>
      <w:r w:rsidR="00D52312">
        <w:t>the Parties to the agreement Jointly carry out a specific project, agree on common aims</w:t>
      </w:r>
      <w:r w:rsidR="00C567D5">
        <w:t xml:space="preserve">, methods of data processing, jointly agree on, i.e. two universities jointly carry out </w:t>
      </w:r>
      <w:r w:rsidR="00F74939">
        <w:t>some testing, the project is also related to personal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BFF1E0" w15:done="0"/>
  <w15:commentEx w15:paraId="1DAF7C20" w15:done="0"/>
  <w15:commentEx w15:paraId="5BA8047E" w15:done="0"/>
  <w15:commentEx w15:paraId="172D4F9A" w15:done="0"/>
  <w15:commentEx w15:paraId="03B3DBE8" w15:done="0"/>
  <w15:commentEx w15:paraId="53325301" w15:done="0"/>
  <w15:commentEx w15:paraId="13D8D6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2C11" w16cex:dateUtc="2022-03-15T14:15:00Z"/>
  <w16cex:commentExtensible w16cex:durableId="25DB2C48" w16cex:dateUtc="2022-03-15T14:16:00Z"/>
  <w16cex:commentExtensible w16cex:durableId="25DB2C62" w16cex:dateUtc="2022-03-15T14:16:00Z"/>
  <w16cex:commentExtensible w16cex:durableId="25DB2C92" w16cex:dateUtc="2022-03-15T14:17:00Z"/>
  <w16cex:commentExtensible w16cex:durableId="25DB2CEA" w16cex:dateUtc="2022-03-15T14:19:00Z"/>
  <w16cex:commentExtensible w16cex:durableId="25DB2D46" w16cex:dateUtc="2022-03-15T14:20:00Z"/>
  <w16cex:commentExtensible w16cex:durableId="25DB2D9F" w16cex:dateUtc="2022-03-15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BFF1E0" w16cid:durableId="25DB2C11"/>
  <w16cid:commentId w16cid:paraId="1DAF7C20" w16cid:durableId="25DB2C48"/>
  <w16cid:commentId w16cid:paraId="5BA8047E" w16cid:durableId="25DB2C62"/>
  <w16cid:commentId w16cid:paraId="172D4F9A" w16cid:durableId="25DB2C92"/>
  <w16cid:commentId w16cid:paraId="03B3DBE8" w16cid:durableId="25DB2CEA"/>
  <w16cid:commentId w16cid:paraId="53325301" w16cid:durableId="25DB2D46"/>
  <w16cid:commentId w16cid:paraId="13D8D6E2" w16cid:durableId="25DB2D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F8004" w14:textId="77777777" w:rsidR="00BB38E8" w:rsidRDefault="00BB38E8" w:rsidP="00BA51CA">
      <w:pPr>
        <w:spacing w:after="0" w:line="240" w:lineRule="auto"/>
      </w:pPr>
      <w:r>
        <w:separator/>
      </w:r>
    </w:p>
  </w:endnote>
  <w:endnote w:type="continuationSeparator" w:id="0">
    <w:p w14:paraId="70E0E6E0" w14:textId="77777777" w:rsidR="00BB38E8" w:rsidRDefault="00BB38E8" w:rsidP="00BA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pecial#Default Metrics Fon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568F" w14:textId="1D90FC86" w:rsidR="0085041C" w:rsidRDefault="0085041C" w:rsidP="005D7B2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3469" w14:textId="77777777" w:rsidR="00BB38E8" w:rsidRDefault="00BB38E8" w:rsidP="00BA51CA">
      <w:pPr>
        <w:spacing w:after="0" w:line="240" w:lineRule="auto"/>
      </w:pPr>
      <w:r>
        <w:separator/>
      </w:r>
    </w:p>
  </w:footnote>
  <w:footnote w:type="continuationSeparator" w:id="0">
    <w:p w14:paraId="094D4A05" w14:textId="77777777" w:rsidR="00BB38E8" w:rsidRDefault="00BB38E8" w:rsidP="00BA5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152" w:hanging="36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900" w:hanging="360"/>
      </w:pPr>
      <w:rPr>
        <w:rFonts w:ascii="Calibri" w:hAnsi="Calibri" w:cs="Times New Roman"/>
        <w:iC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789" w:hanging="360"/>
      </w:pPr>
      <w:rPr>
        <w:rFonts w:ascii="Wingdings" w:hAnsi="Wingdings" w:cs="Wingdings" w:hint="default"/>
        <w:sz w:val="20"/>
        <w:szCs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288"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789" w:hanging="360"/>
      </w:pPr>
      <w:rPr>
        <w:rFonts w:ascii="Wingdings" w:hAnsi="Wingdings" w:cs="Wingdings" w:hint="default"/>
        <w:sz w:val="20"/>
        <w:szCs w:val="20"/>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571" w:hanging="360"/>
      </w:pPr>
      <w:rPr>
        <w:rFonts w:ascii="Wingdings" w:hAnsi="Wingdings" w:cs="Wingdings" w:hint="default"/>
      </w:rPr>
    </w:lvl>
  </w:abstractNum>
  <w:abstractNum w:abstractNumId="6" w15:restartNumberingAfterBreak="0">
    <w:nsid w:val="03266526"/>
    <w:multiLevelType w:val="hybridMultilevel"/>
    <w:tmpl w:val="98045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B6B27"/>
    <w:multiLevelType w:val="hybridMultilevel"/>
    <w:tmpl w:val="CB480F1E"/>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6F723F"/>
    <w:multiLevelType w:val="hybridMultilevel"/>
    <w:tmpl w:val="64882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B6D8E"/>
    <w:multiLevelType w:val="hybridMultilevel"/>
    <w:tmpl w:val="C2B63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D7B7D"/>
    <w:multiLevelType w:val="hybridMultilevel"/>
    <w:tmpl w:val="3280C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800BA"/>
    <w:multiLevelType w:val="hybridMultilevel"/>
    <w:tmpl w:val="EA4C1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571CE7"/>
    <w:multiLevelType w:val="hybridMultilevel"/>
    <w:tmpl w:val="04E8A53E"/>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B453C4"/>
    <w:multiLevelType w:val="hybridMultilevel"/>
    <w:tmpl w:val="84DEDA0C"/>
    <w:lvl w:ilvl="0" w:tplc="36CC7DAA">
      <w:start w:val="1"/>
      <w:numFmt w:val="decimal"/>
      <w:lvlText w:val="%1."/>
      <w:lvlJc w:val="left"/>
      <w:pPr>
        <w:ind w:left="720" w:hanging="360"/>
      </w:pPr>
      <w:rPr>
        <w:rFonts w:ascii="Times New Roman" w:hAnsi="Times New Roman" w:cs="Times New Roman" w:hint="default"/>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F1203A"/>
    <w:multiLevelType w:val="hybridMultilevel"/>
    <w:tmpl w:val="AF9C7582"/>
    <w:lvl w:ilvl="0" w:tplc="0DDCFD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3827651"/>
    <w:multiLevelType w:val="hybridMultilevel"/>
    <w:tmpl w:val="4FDC0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01C6755"/>
    <w:multiLevelType w:val="hybridMultilevel"/>
    <w:tmpl w:val="83E6B178"/>
    <w:lvl w:ilvl="0" w:tplc="E6AA89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072108"/>
    <w:multiLevelType w:val="hybridMultilevel"/>
    <w:tmpl w:val="5908D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0F5B48"/>
    <w:multiLevelType w:val="hybridMultilevel"/>
    <w:tmpl w:val="2BA6053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8A416F"/>
    <w:multiLevelType w:val="hybridMultilevel"/>
    <w:tmpl w:val="9B18789E"/>
    <w:lvl w:ilvl="0" w:tplc="FA44957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D63755"/>
    <w:multiLevelType w:val="hybridMultilevel"/>
    <w:tmpl w:val="C9348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141CFD"/>
    <w:multiLevelType w:val="hybridMultilevel"/>
    <w:tmpl w:val="B39E6CF2"/>
    <w:lvl w:ilvl="0" w:tplc="0415000F">
      <w:start w:val="1"/>
      <w:numFmt w:val="decimal"/>
      <w:lvlText w:val="%1."/>
      <w:lvlJc w:val="left"/>
      <w:pPr>
        <w:ind w:left="1294" w:hanging="360"/>
      </w:pPr>
    </w:lvl>
    <w:lvl w:ilvl="1" w:tplc="04150019" w:tentative="1">
      <w:start w:val="1"/>
      <w:numFmt w:val="lowerLetter"/>
      <w:lvlText w:val="%2."/>
      <w:lvlJc w:val="left"/>
      <w:pPr>
        <w:ind w:left="2014" w:hanging="360"/>
      </w:pPr>
    </w:lvl>
    <w:lvl w:ilvl="2" w:tplc="0415001B" w:tentative="1">
      <w:start w:val="1"/>
      <w:numFmt w:val="lowerRoman"/>
      <w:lvlText w:val="%3."/>
      <w:lvlJc w:val="right"/>
      <w:pPr>
        <w:ind w:left="2734" w:hanging="180"/>
      </w:pPr>
    </w:lvl>
    <w:lvl w:ilvl="3" w:tplc="0415000F" w:tentative="1">
      <w:start w:val="1"/>
      <w:numFmt w:val="decimal"/>
      <w:lvlText w:val="%4."/>
      <w:lvlJc w:val="left"/>
      <w:pPr>
        <w:ind w:left="3454" w:hanging="360"/>
      </w:pPr>
    </w:lvl>
    <w:lvl w:ilvl="4" w:tplc="04150019" w:tentative="1">
      <w:start w:val="1"/>
      <w:numFmt w:val="lowerLetter"/>
      <w:lvlText w:val="%5."/>
      <w:lvlJc w:val="left"/>
      <w:pPr>
        <w:ind w:left="4174" w:hanging="360"/>
      </w:pPr>
    </w:lvl>
    <w:lvl w:ilvl="5" w:tplc="0415001B" w:tentative="1">
      <w:start w:val="1"/>
      <w:numFmt w:val="lowerRoman"/>
      <w:lvlText w:val="%6."/>
      <w:lvlJc w:val="right"/>
      <w:pPr>
        <w:ind w:left="4894" w:hanging="180"/>
      </w:pPr>
    </w:lvl>
    <w:lvl w:ilvl="6" w:tplc="0415000F" w:tentative="1">
      <w:start w:val="1"/>
      <w:numFmt w:val="decimal"/>
      <w:lvlText w:val="%7."/>
      <w:lvlJc w:val="left"/>
      <w:pPr>
        <w:ind w:left="5614" w:hanging="360"/>
      </w:pPr>
    </w:lvl>
    <w:lvl w:ilvl="7" w:tplc="04150019" w:tentative="1">
      <w:start w:val="1"/>
      <w:numFmt w:val="lowerLetter"/>
      <w:lvlText w:val="%8."/>
      <w:lvlJc w:val="left"/>
      <w:pPr>
        <w:ind w:left="6334" w:hanging="360"/>
      </w:pPr>
    </w:lvl>
    <w:lvl w:ilvl="8" w:tplc="0415001B" w:tentative="1">
      <w:start w:val="1"/>
      <w:numFmt w:val="lowerRoman"/>
      <w:lvlText w:val="%9."/>
      <w:lvlJc w:val="right"/>
      <w:pPr>
        <w:ind w:left="7054" w:hanging="180"/>
      </w:pPr>
    </w:lvl>
  </w:abstractNum>
  <w:abstractNum w:abstractNumId="28"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F52DD9"/>
    <w:multiLevelType w:val="hybridMultilevel"/>
    <w:tmpl w:val="1CFE9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D73D47"/>
    <w:multiLevelType w:val="hybridMultilevel"/>
    <w:tmpl w:val="8FA67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632556"/>
    <w:multiLevelType w:val="hybridMultilevel"/>
    <w:tmpl w:val="7482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CD4C52"/>
    <w:multiLevelType w:val="hybridMultilevel"/>
    <w:tmpl w:val="04BAB7EC"/>
    <w:lvl w:ilvl="0" w:tplc="FDCAF2A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0"/>
  </w:num>
  <w:num w:numId="3">
    <w:abstractNumId w:val="32"/>
  </w:num>
  <w:num w:numId="4">
    <w:abstractNumId w:val="17"/>
  </w:num>
  <w:num w:numId="5">
    <w:abstractNumId w:val="23"/>
  </w:num>
  <w:num w:numId="6">
    <w:abstractNumId w:val="18"/>
  </w:num>
  <w:num w:numId="7">
    <w:abstractNumId w:val="10"/>
  </w:num>
  <w:num w:numId="8">
    <w:abstractNumId w:val="12"/>
  </w:num>
  <w:num w:numId="9">
    <w:abstractNumId w:val="29"/>
  </w:num>
  <w:num w:numId="10">
    <w:abstractNumId w:val="24"/>
  </w:num>
  <w:num w:numId="11">
    <w:abstractNumId w:val="15"/>
  </w:num>
  <w:num w:numId="12">
    <w:abstractNumId w:val="34"/>
  </w:num>
  <w:num w:numId="13">
    <w:abstractNumId w:val="25"/>
  </w:num>
  <w:num w:numId="14">
    <w:abstractNumId w:val="16"/>
  </w:num>
  <w:num w:numId="15">
    <w:abstractNumId w:val="31"/>
  </w:num>
  <w:num w:numId="16">
    <w:abstractNumId w:val="11"/>
  </w:num>
  <w:num w:numId="17">
    <w:abstractNumId w:val="8"/>
  </w:num>
  <w:num w:numId="18">
    <w:abstractNumId w:val="28"/>
  </w:num>
  <w:num w:numId="19">
    <w:abstractNumId w:val="2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7"/>
  </w:num>
  <w:num w:numId="27">
    <w:abstractNumId w:val="9"/>
  </w:num>
  <w:num w:numId="28">
    <w:abstractNumId w:val="7"/>
  </w:num>
  <w:num w:numId="29">
    <w:abstractNumId w:val="26"/>
  </w:num>
  <w:num w:numId="30">
    <w:abstractNumId w:val="22"/>
  </w:num>
  <w:num w:numId="31">
    <w:abstractNumId w:val="19"/>
  </w:num>
  <w:num w:numId="32">
    <w:abstractNumId w:val="14"/>
  </w:num>
  <w:num w:numId="33">
    <w:abstractNumId w:val="13"/>
  </w:num>
  <w:num w:numId="3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Kowalski">
    <w15:presenceInfo w15:providerId="Windows Live" w15:userId="e524433e71ad0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F2"/>
    <w:rsid w:val="00014B82"/>
    <w:rsid w:val="00040F97"/>
    <w:rsid w:val="0005101F"/>
    <w:rsid w:val="00052BA7"/>
    <w:rsid w:val="000577B7"/>
    <w:rsid w:val="00076BCB"/>
    <w:rsid w:val="00086E86"/>
    <w:rsid w:val="000A0F79"/>
    <w:rsid w:val="000A4C0F"/>
    <w:rsid w:val="00134CE1"/>
    <w:rsid w:val="00143894"/>
    <w:rsid w:val="00144FFE"/>
    <w:rsid w:val="00172C39"/>
    <w:rsid w:val="001968FB"/>
    <w:rsid w:val="001A6FAB"/>
    <w:rsid w:val="001C0AAD"/>
    <w:rsid w:val="001D17C4"/>
    <w:rsid w:val="001E2D10"/>
    <w:rsid w:val="001F6F5D"/>
    <w:rsid w:val="00214A7A"/>
    <w:rsid w:val="00230FAA"/>
    <w:rsid w:val="00255415"/>
    <w:rsid w:val="002579B1"/>
    <w:rsid w:val="002579B8"/>
    <w:rsid w:val="00281F33"/>
    <w:rsid w:val="00283065"/>
    <w:rsid w:val="00287A42"/>
    <w:rsid w:val="00294E4E"/>
    <w:rsid w:val="002B5F4B"/>
    <w:rsid w:val="002B65EB"/>
    <w:rsid w:val="002C5B3C"/>
    <w:rsid w:val="002D44BF"/>
    <w:rsid w:val="002D643A"/>
    <w:rsid w:val="002D79C3"/>
    <w:rsid w:val="002E5A9F"/>
    <w:rsid w:val="002E677A"/>
    <w:rsid w:val="002E7A61"/>
    <w:rsid w:val="003006B5"/>
    <w:rsid w:val="00307576"/>
    <w:rsid w:val="00310A35"/>
    <w:rsid w:val="003353FE"/>
    <w:rsid w:val="00337071"/>
    <w:rsid w:val="00344234"/>
    <w:rsid w:val="003444C8"/>
    <w:rsid w:val="003544FF"/>
    <w:rsid w:val="00367CCA"/>
    <w:rsid w:val="00371AB0"/>
    <w:rsid w:val="00387DB1"/>
    <w:rsid w:val="00393F57"/>
    <w:rsid w:val="00396362"/>
    <w:rsid w:val="003B4637"/>
    <w:rsid w:val="003B7611"/>
    <w:rsid w:val="003D2E92"/>
    <w:rsid w:val="003E0429"/>
    <w:rsid w:val="00403F26"/>
    <w:rsid w:val="00417A55"/>
    <w:rsid w:val="004268A9"/>
    <w:rsid w:val="004461D8"/>
    <w:rsid w:val="004643B8"/>
    <w:rsid w:val="00473558"/>
    <w:rsid w:val="00477A91"/>
    <w:rsid w:val="00483DA7"/>
    <w:rsid w:val="00495697"/>
    <w:rsid w:val="004E2FA4"/>
    <w:rsid w:val="004F185D"/>
    <w:rsid w:val="004F732B"/>
    <w:rsid w:val="004F7E92"/>
    <w:rsid w:val="00523F9C"/>
    <w:rsid w:val="00530931"/>
    <w:rsid w:val="00537D51"/>
    <w:rsid w:val="00566E4B"/>
    <w:rsid w:val="005674D4"/>
    <w:rsid w:val="00567785"/>
    <w:rsid w:val="00573D01"/>
    <w:rsid w:val="00577884"/>
    <w:rsid w:val="005B2F89"/>
    <w:rsid w:val="005C39B2"/>
    <w:rsid w:val="005D3ADA"/>
    <w:rsid w:val="005D7B2F"/>
    <w:rsid w:val="005E64F2"/>
    <w:rsid w:val="005F632E"/>
    <w:rsid w:val="00614FD3"/>
    <w:rsid w:val="00621381"/>
    <w:rsid w:val="00662E62"/>
    <w:rsid w:val="00665D42"/>
    <w:rsid w:val="00672FEB"/>
    <w:rsid w:val="00673A52"/>
    <w:rsid w:val="006836B2"/>
    <w:rsid w:val="006863FA"/>
    <w:rsid w:val="006943C3"/>
    <w:rsid w:val="00695E9A"/>
    <w:rsid w:val="006C27D5"/>
    <w:rsid w:val="006C51AE"/>
    <w:rsid w:val="00703D8C"/>
    <w:rsid w:val="00742B19"/>
    <w:rsid w:val="0074527C"/>
    <w:rsid w:val="0075694C"/>
    <w:rsid w:val="0076070C"/>
    <w:rsid w:val="00760FDF"/>
    <w:rsid w:val="007664DF"/>
    <w:rsid w:val="00780373"/>
    <w:rsid w:val="00781156"/>
    <w:rsid w:val="0078480E"/>
    <w:rsid w:val="00790786"/>
    <w:rsid w:val="007959F1"/>
    <w:rsid w:val="007A5CA5"/>
    <w:rsid w:val="007A6221"/>
    <w:rsid w:val="007B5406"/>
    <w:rsid w:val="007B713E"/>
    <w:rsid w:val="007C7E97"/>
    <w:rsid w:val="007D105D"/>
    <w:rsid w:val="007D467D"/>
    <w:rsid w:val="00800B26"/>
    <w:rsid w:val="008247CE"/>
    <w:rsid w:val="0083665B"/>
    <w:rsid w:val="0085041C"/>
    <w:rsid w:val="008757E5"/>
    <w:rsid w:val="008933AF"/>
    <w:rsid w:val="008B73B0"/>
    <w:rsid w:val="00903AF0"/>
    <w:rsid w:val="00904F2F"/>
    <w:rsid w:val="009175AA"/>
    <w:rsid w:val="00920570"/>
    <w:rsid w:val="009369CA"/>
    <w:rsid w:val="00940F19"/>
    <w:rsid w:val="00947526"/>
    <w:rsid w:val="00981F8A"/>
    <w:rsid w:val="00984BCD"/>
    <w:rsid w:val="0098629C"/>
    <w:rsid w:val="009951B0"/>
    <w:rsid w:val="009968A8"/>
    <w:rsid w:val="009A04E1"/>
    <w:rsid w:val="009A4AFA"/>
    <w:rsid w:val="009B7C2D"/>
    <w:rsid w:val="009C5E79"/>
    <w:rsid w:val="009D7540"/>
    <w:rsid w:val="009E2DE4"/>
    <w:rsid w:val="009E52C2"/>
    <w:rsid w:val="009E5776"/>
    <w:rsid w:val="009F5107"/>
    <w:rsid w:val="00A01587"/>
    <w:rsid w:val="00A04EA7"/>
    <w:rsid w:val="00A12B43"/>
    <w:rsid w:val="00A20344"/>
    <w:rsid w:val="00A25ABF"/>
    <w:rsid w:val="00A34340"/>
    <w:rsid w:val="00A47DA9"/>
    <w:rsid w:val="00A55296"/>
    <w:rsid w:val="00A62B16"/>
    <w:rsid w:val="00A67B98"/>
    <w:rsid w:val="00A7115D"/>
    <w:rsid w:val="00A91CCA"/>
    <w:rsid w:val="00A94237"/>
    <w:rsid w:val="00AA3FCF"/>
    <w:rsid w:val="00AA59B2"/>
    <w:rsid w:val="00AC2657"/>
    <w:rsid w:val="00AE5A92"/>
    <w:rsid w:val="00B0456C"/>
    <w:rsid w:val="00B1534F"/>
    <w:rsid w:val="00B156BC"/>
    <w:rsid w:val="00B171B9"/>
    <w:rsid w:val="00B33CED"/>
    <w:rsid w:val="00B45868"/>
    <w:rsid w:val="00B72928"/>
    <w:rsid w:val="00BA51CA"/>
    <w:rsid w:val="00BB38E8"/>
    <w:rsid w:val="00C13E54"/>
    <w:rsid w:val="00C33C54"/>
    <w:rsid w:val="00C470B3"/>
    <w:rsid w:val="00C5529B"/>
    <w:rsid w:val="00C567D5"/>
    <w:rsid w:val="00C74E56"/>
    <w:rsid w:val="00C87879"/>
    <w:rsid w:val="00C92D43"/>
    <w:rsid w:val="00CA61C4"/>
    <w:rsid w:val="00CA7D8A"/>
    <w:rsid w:val="00CC6863"/>
    <w:rsid w:val="00CD4995"/>
    <w:rsid w:val="00CE756C"/>
    <w:rsid w:val="00CF5A63"/>
    <w:rsid w:val="00D05F2C"/>
    <w:rsid w:val="00D10704"/>
    <w:rsid w:val="00D339B1"/>
    <w:rsid w:val="00D47CDA"/>
    <w:rsid w:val="00D52312"/>
    <w:rsid w:val="00D529D0"/>
    <w:rsid w:val="00D656F7"/>
    <w:rsid w:val="00D70C5A"/>
    <w:rsid w:val="00D759E3"/>
    <w:rsid w:val="00D7792C"/>
    <w:rsid w:val="00DA32A9"/>
    <w:rsid w:val="00DA3BD6"/>
    <w:rsid w:val="00DB51DC"/>
    <w:rsid w:val="00DC2602"/>
    <w:rsid w:val="00DD00CF"/>
    <w:rsid w:val="00DD2F8B"/>
    <w:rsid w:val="00DD625C"/>
    <w:rsid w:val="00DD7540"/>
    <w:rsid w:val="00E34160"/>
    <w:rsid w:val="00E34231"/>
    <w:rsid w:val="00E54403"/>
    <w:rsid w:val="00E750A4"/>
    <w:rsid w:val="00E84CE4"/>
    <w:rsid w:val="00E91A2C"/>
    <w:rsid w:val="00E929B6"/>
    <w:rsid w:val="00E9600F"/>
    <w:rsid w:val="00EA17F7"/>
    <w:rsid w:val="00EB7145"/>
    <w:rsid w:val="00EB789D"/>
    <w:rsid w:val="00EC1D57"/>
    <w:rsid w:val="00EC2075"/>
    <w:rsid w:val="00EC52EA"/>
    <w:rsid w:val="00ED35B6"/>
    <w:rsid w:val="00EE4AF9"/>
    <w:rsid w:val="00EE5816"/>
    <w:rsid w:val="00EF03E6"/>
    <w:rsid w:val="00EF6466"/>
    <w:rsid w:val="00F170F0"/>
    <w:rsid w:val="00F414E9"/>
    <w:rsid w:val="00F53424"/>
    <w:rsid w:val="00F55FCA"/>
    <w:rsid w:val="00F56FE4"/>
    <w:rsid w:val="00F627D4"/>
    <w:rsid w:val="00F6355F"/>
    <w:rsid w:val="00F67820"/>
    <w:rsid w:val="00F72D0C"/>
    <w:rsid w:val="00F74939"/>
    <w:rsid w:val="00F80AB9"/>
    <w:rsid w:val="00F95CF8"/>
    <w:rsid w:val="00FA1D0D"/>
    <w:rsid w:val="00FA6BEA"/>
    <w:rsid w:val="00FB5EB5"/>
    <w:rsid w:val="00FC5F24"/>
    <w:rsid w:val="00FD3C9E"/>
    <w:rsid w:val="00FF4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7B8F"/>
  <w15:docId w15:val="{CC8EA6E0-540E-4A28-94D6-E61AD724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64F2"/>
    <w:pPr>
      <w:ind w:left="720"/>
      <w:contextualSpacing/>
    </w:pPr>
  </w:style>
  <w:style w:type="paragraph" w:styleId="Tekstdymka">
    <w:name w:val="Balloon Text"/>
    <w:basedOn w:val="Normalny"/>
    <w:link w:val="TekstdymkaZnak"/>
    <w:uiPriority w:val="99"/>
    <w:semiHidden/>
    <w:unhideWhenUsed/>
    <w:rsid w:val="00703D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D8C"/>
    <w:rPr>
      <w:rFonts w:ascii="Segoe UI" w:hAnsi="Segoe UI" w:cs="Segoe UI"/>
      <w:sz w:val="18"/>
      <w:szCs w:val="18"/>
    </w:rPr>
  </w:style>
  <w:style w:type="paragraph" w:styleId="Nagwek">
    <w:name w:val="header"/>
    <w:basedOn w:val="Normalny"/>
    <w:link w:val="NagwekZnak"/>
    <w:uiPriority w:val="99"/>
    <w:unhideWhenUsed/>
    <w:rsid w:val="00BA5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51CA"/>
  </w:style>
  <w:style w:type="paragraph" w:styleId="Stopka">
    <w:name w:val="footer"/>
    <w:basedOn w:val="Normalny"/>
    <w:link w:val="StopkaZnak"/>
    <w:uiPriority w:val="99"/>
    <w:unhideWhenUsed/>
    <w:rsid w:val="00BA5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1CA"/>
  </w:style>
  <w:style w:type="paragraph" w:customStyle="1" w:styleId="Style1">
    <w:name w:val="Style1"/>
    <w:basedOn w:val="Normalny"/>
    <w:uiPriority w:val="99"/>
    <w:rsid w:val="00BA51CA"/>
    <w:pPr>
      <w:widowControl w:val="0"/>
      <w:autoSpaceDE w:val="0"/>
      <w:autoSpaceDN w:val="0"/>
      <w:adjustRightInd w:val="0"/>
      <w:spacing w:after="0" w:line="233" w:lineRule="exact"/>
      <w:jc w:val="right"/>
    </w:pPr>
    <w:rPr>
      <w:rFonts w:ascii="Times New Roman" w:eastAsiaTheme="minorEastAsia" w:hAnsi="Times New Roman" w:cs="Times New Roman"/>
      <w:sz w:val="24"/>
      <w:szCs w:val="24"/>
      <w:lang w:eastAsia="pl-PL"/>
    </w:rPr>
  </w:style>
  <w:style w:type="character" w:customStyle="1" w:styleId="FontStyle12">
    <w:name w:val="Font Style12"/>
    <w:basedOn w:val="Domylnaczcionkaakapitu"/>
    <w:uiPriority w:val="99"/>
    <w:rsid w:val="00BA51CA"/>
    <w:rPr>
      <w:rFonts w:ascii="Times New Roman" w:hAnsi="Times New Roman" w:cs="Times New Roman"/>
      <w:b/>
      <w:bCs/>
      <w:sz w:val="18"/>
      <w:szCs w:val="18"/>
    </w:rPr>
  </w:style>
  <w:style w:type="character" w:customStyle="1" w:styleId="Bodytext2">
    <w:name w:val="Body text (2)_"/>
    <w:link w:val="Bodytext20"/>
    <w:rsid w:val="00B33CED"/>
    <w:rPr>
      <w:rFonts w:ascii="Special#Default Metrics Font" w:eastAsia="Special#Default Metrics Font" w:hAnsi="Special#Default Metrics Font" w:cs="Special#Default Metrics Font"/>
      <w:spacing w:val="-10"/>
      <w:shd w:val="clear" w:color="auto" w:fill="FFFFFF"/>
    </w:rPr>
  </w:style>
  <w:style w:type="paragraph" w:customStyle="1" w:styleId="Bodytext20">
    <w:name w:val="Body text (2)"/>
    <w:basedOn w:val="Normalny"/>
    <w:link w:val="Bodytext2"/>
    <w:rsid w:val="00B33CED"/>
    <w:pPr>
      <w:widowControl w:val="0"/>
      <w:shd w:val="clear" w:color="auto" w:fill="FFFFFF"/>
      <w:spacing w:before="60" w:after="0" w:line="307" w:lineRule="exact"/>
      <w:ind w:hanging="409"/>
      <w:jc w:val="both"/>
    </w:pPr>
    <w:rPr>
      <w:rFonts w:ascii="Special#Default Metrics Font" w:eastAsia="Special#Default Metrics Font" w:hAnsi="Special#Default Metrics Font" w:cs="Special#Default Metrics Font"/>
      <w:spacing w:val="-10"/>
    </w:rPr>
  </w:style>
  <w:style w:type="character" w:customStyle="1" w:styleId="h2">
    <w:name w:val="h2"/>
    <w:basedOn w:val="Domylnaczcionkaakapitu"/>
    <w:rsid w:val="00FA1D0D"/>
  </w:style>
  <w:style w:type="character" w:customStyle="1" w:styleId="h1">
    <w:name w:val="h1"/>
    <w:basedOn w:val="Domylnaczcionkaakapitu"/>
    <w:rsid w:val="00FA1D0D"/>
  </w:style>
  <w:style w:type="character" w:styleId="Odwoaniedokomentarza">
    <w:name w:val="annotation reference"/>
    <w:basedOn w:val="Domylnaczcionkaakapitu"/>
    <w:uiPriority w:val="99"/>
    <w:semiHidden/>
    <w:unhideWhenUsed/>
    <w:rsid w:val="00F56FE4"/>
    <w:rPr>
      <w:sz w:val="16"/>
      <w:szCs w:val="16"/>
    </w:rPr>
  </w:style>
  <w:style w:type="paragraph" w:styleId="Tekstkomentarza">
    <w:name w:val="annotation text"/>
    <w:basedOn w:val="Normalny"/>
    <w:link w:val="TekstkomentarzaZnak"/>
    <w:uiPriority w:val="99"/>
    <w:unhideWhenUsed/>
    <w:rsid w:val="00F56FE4"/>
    <w:pPr>
      <w:spacing w:line="240" w:lineRule="auto"/>
    </w:pPr>
    <w:rPr>
      <w:sz w:val="20"/>
      <w:szCs w:val="20"/>
    </w:rPr>
  </w:style>
  <w:style w:type="character" w:customStyle="1" w:styleId="TekstkomentarzaZnak">
    <w:name w:val="Tekst komentarza Znak"/>
    <w:basedOn w:val="Domylnaczcionkaakapitu"/>
    <w:link w:val="Tekstkomentarza"/>
    <w:uiPriority w:val="99"/>
    <w:rsid w:val="00F56FE4"/>
    <w:rPr>
      <w:sz w:val="20"/>
      <w:szCs w:val="20"/>
    </w:rPr>
  </w:style>
  <w:style w:type="paragraph" w:styleId="Tematkomentarza">
    <w:name w:val="annotation subject"/>
    <w:basedOn w:val="Tekstkomentarza"/>
    <w:next w:val="Tekstkomentarza"/>
    <w:link w:val="TematkomentarzaZnak"/>
    <w:uiPriority w:val="99"/>
    <w:semiHidden/>
    <w:unhideWhenUsed/>
    <w:rsid w:val="00F56FE4"/>
    <w:rPr>
      <w:b/>
      <w:bCs/>
    </w:rPr>
  </w:style>
  <w:style w:type="character" w:customStyle="1" w:styleId="TematkomentarzaZnak">
    <w:name w:val="Temat komentarza Znak"/>
    <w:basedOn w:val="TekstkomentarzaZnak"/>
    <w:link w:val="Tematkomentarza"/>
    <w:uiPriority w:val="99"/>
    <w:semiHidden/>
    <w:rsid w:val="00F56FE4"/>
    <w:rPr>
      <w:b/>
      <w:bCs/>
      <w:sz w:val="20"/>
      <w:szCs w:val="20"/>
    </w:rPr>
  </w:style>
  <w:style w:type="table" w:styleId="Tabela-Siatka">
    <w:name w:val="Table Grid"/>
    <w:basedOn w:val="Standardowy"/>
    <w:uiPriority w:val="59"/>
    <w:rsid w:val="007D4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D467D"/>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7D467D"/>
    <w:rPr>
      <w:rFonts w:eastAsiaTheme="minorEastAsia"/>
      <w:sz w:val="20"/>
      <w:szCs w:val="20"/>
      <w:lang w:eastAsia="pl-PL"/>
    </w:rPr>
  </w:style>
  <w:style w:type="character" w:styleId="Odwoanieprzypisudolnego">
    <w:name w:val="footnote reference"/>
    <w:basedOn w:val="Domylnaczcionkaakapitu"/>
    <w:uiPriority w:val="99"/>
    <w:semiHidden/>
    <w:unhideWhenUsed/>
    <w:rsid w:val="007D467D"/>
    <w:rPr>
      <w:vertAlign w:val="superscript"/>
    </w:rPr>
  </w:style>
  <w:style w:type="character" w:styleId="Hipercze">
    <w:name w:val="Hyperlink"/>
    <w:basedOn w:val="Domylnaczcionkaakapitu"/>
    <w:uiPriority w:val="99"/>
    <w:unhideWhenUsed/>
    <w:rsid w:val="007D467D"/>
    <w:rPr>
      <w:color w:val="0563C1" w:themeColor="hyperlink"/>
      <w:u w:val="single"/>
    </w:rPr>
  </w:style>
  <w:style w:type="character" w:styleId="Nierozpoznanawzmianka">
    <w:name w:val="Unresolved Mention"/>
    <w:basedOn w:val="Domylnaczcionkaakapitu"/>
    <w:uiPriority w:val="99"/>
    <w:semiHidden/>
    <w:unhideWhenUsed/>
    <w:rsid w:val="00D339B1"/>
    <w:rPr>
      <w:color w:val="605E5C"/>
      <w:shd w:val="clear" w:color="auto" w:fill="E1DFDD"/>
    </w:rPr>
  </w:style>
  <w:style w:type="character" w:customStyle="1" w:styleId="jlqj4b">
    <w:name w:val="jlqj4b"/>
    <w:basedOn w:val="Domylnaczcionkaakapitu"/>
    <w:rsid w:val="00D10704"/>
  </w:style>
  <w:style w:type="character" w:customStyle="1" w:styleId="viiyi">
    <w:name w:val="viiyi"/>
    <w:basedOn w:val="Domylnaczcionkaakapitu"/>
    <w:rsid w:val="00D1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603908">
      <w:bodyDiv w:val="1"/>
      <w:marLeft w:val="0"/>
      <w:marRight w:val="0"/>
      <w:marTop w:val="0"/>
      <w:marBottom w:val="0"/>
      <w:divBdr>
        <w:top w:val="none" w:sz="0" w:space="0" w:color="auto"/>
        <w:left w:val="none" w:sz="0" w:space="0" w:color="auto"/>
        <w:bottom w:val="none" w:sz="0" w:space="0" w:color="auto"/>
        <w:right w:val="none" w:sz="0" w:space="0" w:color="auto"/>
      </w:divBdr>
      <w:divsChild>
        <w:div w:id="1008479519">
          <w:marLeft w:val="0"/>
          <w:marRight w:val="0"/>
          <w:marTop w:val="0"/>
          <w:marBottom w:val="0"/>
          <w:divBdr>
            <w:top w:val="none" w:sz="0" w:space="0" w:color="auto"/>
            <w:left w:val="none" w:sz="0" w:space="0" w:color="auto"/>
            <w:bottom w:val="none" w:sz="0" w:space="0" w:color="auto"/>
            <w:right w:val="none" w:sz="0" w:space="0" w:color="auto"/>
          </w:divBdr>
          <w:divsChild>
            <w:div w:id="1526938259">
              <w:marLeft w:val="0"/>
              <w:marRight w:val="0"/>
              <w:marTop w:val="0"/>
              <w:marBottom w:val="0"/>
              <w:divBdr>
                <w:top w:val="none" w:sz="0" w:space="0" w:color="auto"/>
                <w:left w:val="none" w:sz="0" w:space="0" w:color="auto"/>
                <w:bottom w:val="none" w:sz="0" w:space="0" w:color="auto"/>
                <w:right w:val="none" w:sz="0" w:space="0" w:color="auto"/>
              </w:divBdr>
            </w:div>
          </w:divsChild>
        </w:div>
        <w:div w:id="1900901098">
          <w:marLeft w:val="0"/>
          <w:marRight w:val="0"/>
          <w:marTop w:val="0"/>
          <w:marBottom w:val="0"/>
          <w:divBdr>
            <w:top w:val="none" w:sz="0" w:space="0" w:color="auto"/>
            <w:left w:val="none" w:sz="0" w:space="0" w:color="auto"/>
            <w:bottom w:val="none" w:sz="0" w:space="0" w:color="auto"/>
            <w:right w:val="none" w:sz="0" w:space="0" w:color="auto"/>
          </w:divBdr>
          <w:divsChild>
            <w:div w:id="1137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5698">
      <w:bodyDiv w:val="1"/>
      <w:marLeft w:val="0"/>
      <w:marRight w:val="0"/>
      <w:marTop w:val="0"/>
      <w:marBottom w:val="0"/>
      <w:divBdr>
        <w:top w:val="none" w:sz="0" w:space="0" w:color="auto"/>
        <w:left w:val="none" w:sz="0" w:space="0" w:color="auto"/>
        <w:bottom w:val="none" w:sz="0" w:space="0" w:color="auto"/>
        <w:right w:val="none" w:sz="0" w:space="0" w:color="auto"/>
      </w:divBdr>
    </w:div>
    <w:div w:id="21131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8403-C10D-445A-AEEE-FC7B9A84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589</Words>
  <Characters>3536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Miśkiewicz</dc:creator>
  <cp:keywords/>
  <dc:description/>
  <cp:lastModifiedBy>Michał Dobrowolski</cp:lastModifiedBy>
  <cp:revision>57</cp:revision>
  <cp:lastPrinted>2020-12-01T12:30:00Z</cp:lastPrinted>
  <dcterms:created xsi:type="dcterms:W3CDTF">2021-09-13T07:04:00Z</dcterms:created>
  <dcterms:modified xsi:type="dcterms:W3CDTF">2022-03-16T10:15:00Z</dcterms:modified>
</cp:coreProperties>
</file>