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548"/>
        <w:gridCol w:w="485"/>
        <w:gridCol w:w="5713"/>
        <w:gridCol w:w="1326"/>
      </w:tblGrid>
      <w:tr w:rsidR="00512765" w:rsidRPr="00512765" w:rsidTr="00512765">
        <w:trPr>
          <w:tblCellSpacing w:w="0" w:type="dxa"/>
        </w:trPr>
        <w:tc>
          <w:tcPr>
            <w:tcW w:w="0" w:type="auto"/>
            <w:vAlign w:val="center"/>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7.6.2021   </w:t>
            </w:r>
          </w:p>
        </w:tc>
        <w:tc>
          <w:tcPr>
            <w:tcW w:w="0" w:type="auto"/>
            <w:vAlign w:val="center"/>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EN</w:t>
            </w:r>
          </w:p>
        </w:tc>
        <w:tc>
          <w:tcPr>
            <w:tcW w:w="0" w:type="auto"/>
            <w:vAlign w:val="center"/>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Official Journal of the European Union</w:t>
            </w:r>
          </w:p>
        </w:tc>
        <w:tc>
          <w:tcPr>
            <w:tcW w:w="0" w:type="auto"/>
            <w:vAlign w:val="center"/>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L 199/31</w:t>
            </w:r>
          </w:p>
        </w:tc>
      </w:tr>
    </w:tbl>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pict>
          <v:rect id="_x0000_i1025" style="width:0;height:1.5pt" o:hralign="center" o:hrstd="t" o:hr="t" fillcolor="#a0a0a0" stroked="f"/>
        </w:pic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COMMISSION IMPLEMENTING DECISION (EU) 2021/914</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of 4 June 2021</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on standard contractual clauses for the transfer of personal data to third countries pursuant to Regulation (EU) 2016/679 of the European Parliament and of the Council</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(Text with EEA relevance)</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EUROPEAN COMMISSION,</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Having regard to the Treaty on the Functioning of the European Union,</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Having regard to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hyperlink r:id="rId5" w:anchor="ntr1-L_2021199EN.01003101-E0001" w:history="1">
        <w:r w:rsidRPr="00512765">
          <w:rPr>
            <w:rFonts w:ascii="Times New Roman" w:eastAsia="Times New Roman" w:hAnsi="Times New Roman" w:cs="Times New Roman"/>
            <w:color w:val="0000FF"/>
            <w:sz w:val="24"/>
            <w:szCs w:val="24"/>
            <w:u w:val="single"/>
            <w:lang w:eastAsia="pl-PL"/>
          </w:rPr>
          <w:t>(1)</w:t>
        </w:r>
      </w:hyperlink>
      <w:r w:rsidRPr="00512765">
        <w:rPr>
          <w:rFonts w:ascii="Times New Roman" w:eastAsia="Times New Roman" w:hAnsi="Times New Roman" w:cs="Times New Roman"/>
          <w:sz w:val="24"/>
          <w:szCs w:val="24"/>
          <w:lang w:eastAsia="pl-PL"/>
        </w:rPr>
        <w:t>, and in particular Article 28(7) and Article 46(2)(c) thereof,</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Whereas:</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Technological developments are facilitating cross-border data flows necessary for the expansion of international cooperation and international trade. At the same time, it is necessary to ensure that the level of protection of natural persons guaranteed by Regulation (EU) 2016/679 is not undermined where personal data is transferred to third countries, including in cases of onward transfers </w:t>
            </w:r>
            <w:hyperlink r:id="rId6" w:anchor="ntr2-L_2021199EN.01003101-E0002" w:history="1">
              <w:r w:rsidRPr="00512765">
                <w:rPr>
                  <w:rFonts w:ascii="Times New Roman" w:eastAsia="Times New Roman" w:hAnsi="Times New Roman" w:cs="Times New Roman"/>
                  <w:color w:val="0000FF"/>
                  <w:sz w:val="24"/>
                  <w:szCs w:val="24"/>
                  <w:u w:val="single"/>
                  <w:lang w:eastAsia="pl-PL"/>
                </w:rPr>
                <w:t>(2)</w:t>
              </w:r>
            </w:hyperlink>
            <w:r w:rsidRPr="00512765">
              <w:rPr>
                <w:rFonts w:ascii="Times New Roman" w:eastAsia="Times New Roman" w:hAnsi="Times New Roman" w:cs="Times New Roman"/>
                <w:sz w:val="24"/>
                <w:szCs w:val="24"/>
                <w:lang w:eastAsia="pl-PL"/>
              </w:rPr>
              <w:t>. The data transfer provisions in Chapter V of Regulation (EU) 2016/679 are intended to ensure the continuity of that high level of protection where personal data is transferred to a third country </w:t>
            </w:r>
            <w:hyperlink r:id="rId7" w:anchor="ntr3-L_2021199EN.01003101-E0003" w:history="1">
              <w:r w:rsidRPr="00512765">
                <w:rPr>
                  <w:rFonts w:ascii="Times New Roman" w:eastAsia="Times New Roman" w:hAnsi="Times New Roman" w:cs="Times New Roman"/>
                  <w:color w:val="0000FF"/>
                  <w:sz w:val="24"/>
                  <w:szCs w:val="24"/>
                  <w:u w:val="single"/>
                  <w:lang w:eastAsia="pl-PL"/>
                </w:rPr>
                <w:t>(3)</w:t>
              </w:r>
            </w:hyperlink>
            <w:r w:rsidRPr="00512765">
              <w:rPr>
                <w:rFonts w:ascii="Times New Roman" w:eastAsia="Times New Roman" w:hAnsi="Times New Roman" w:cs="Times New Roman"/>
                <w:sz w:val="24"/>
                <w:szCs w:val="24"/>
                <w:lang w:eastAsia="pl-PL"/>
              </w:rPr>
              <w: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(2)</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Pursuant to Article 46(1) of Regulation (EU) 2016/679, in the absence of an adequacy decision by the Commission pursuant to Article 45(3), a controller or processor may transfer personal data to a third country only if it has provided appropriate safeguards, and on condition that enforceable rights and effective legal remedies for data subjects are available. Such safeguards may be provided for by standard data protection clauses adopted by the Commission pursuant to Article 46(2)(c).</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(3)</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role of standard contractual clauses is limited to ensuring appropriate data protection safeguards for international data transfers. Therefore, the controller or processor transferring the personal data to a third country (the ‘data exporter’) and the controller or processor receiving the personal data (the ‘data importer’) are free to include those standard contractual clauses in a wider contract and to add other clauses or additional safeguards, provided that they do not contradict, directly or indirectly, the standard contractual clauses or prejudice the fundamental rights or freedoms of data subjects. Controllers and processors are encouraged to provide additional safeguards by means of contractual commitments that supplement the standard contractual clauses </w:t>
            </w:r>
            <w:hyperlink r:id="rId8" w:anchor="ntr4-L_2021199EN.01003101-E0004" w:history="1">
              <w:r w:rsidRPr="00512765">
                <w:rPr>
                  <w:rFonts w:ascii="Times New Roman" w:eastAsia="Times New Roman" w:hAnsi="Times New Roman" w:cs="Times New Roman"/>
                  <w:color w:val="0000FF"/>
                  <w:sz w:val="24"/>
                  <w:szCs w:val="24"/>
                  <w:u w:val="single"/>
                  <w:lang w:eastAsia="pl-PL"/>
                </w:rPr>
                <w:t>(4)</w:t>
              </w:r>
            </w:hyperlink>
            <w:r w:rsidRPr="00512765">
              <w:rPr>
                <w:rFonts w:ascii="Times New Roman" w:eastAsia="Times New Roman" w:hAnsi="Times New Roman" w:cs="Times New Roman"/>
                <w:sz w:val="24"/>
                <w:szCs w:val="24"/>
                <w:lang w:eastAsia="pl-PL"/>
              </w:rPr>
              <w:t>. The use of the standard contractual clauses is without prejudice to any contractual obligations of the data exporter and/or importer to ensure respect for applicable privileges and immunities.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(4)</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Beyond using standard contractual clauses to provide appropriate safeguards for transfers pursuant to Article 46(1) of Regulation (EU) 2016/679, the data exporter has to fulfil its general responsibilities as controller or processor under Regulation (EU) 2016/679. Those responsibilities include an obligation of the controller to provide data subjects with information about the fact that it intends to transfer their personal data to a third country pursuant to Article 13(1)(f) and Article 14(1)(f) of Regulation (EU) 2016/679. In the case of transfers pursuant to Article 46 of Regulation (EU) 2016/679, such information must include a reference to the appropriate safeguards and the means by which to obtain a copy of them or information where they have been made available.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(5)</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Commission Decisions 2001/497/EC </w:t>
            </w:r>
            <w:hyperlink r:id="rId9" w:anchor="ntr5-L_2021199EN.01003101-E0005" w:history="1">
              <w:r w:rsidRPr="00512765">
                <w:rPr>
                  <w:rFonts w:ascii="Times New Roman" w:eastAsia="Times New Roman" w:hAnsi="Times New Roman" w:cs="Times New Roman"/>
                  <w:color w:val="0000FF"/>
                  <w:sz w:val="24"/>
                  <w:szCs w:val="24"/>
                  <w:u w:val="single"/>
                  <w:lang w:eastAsia="pl-PL"/>
                </w:rPr>
                <w:t>(5)</w:t>
              </w:r>
            </w:hyperlink>
            <w:r w:rsidRPr="00512765">
              <w:rPr>
                <w:rFonts w:ascii="Times New Roman" w:eastAsia="Times New Roman" w:hAnsi="Times New Roman" w:cs="Times New Roman"/>
                <w:sz w:val="24"/>
                <w:szCs w:val="24"/>
                <w:lang w:eastAsia="pl-PL"/>
              </w:rPr>
              <w:t xml:space="preserve"> and 2010/87/EU </w:t>
            </w:r>
            <w:hyperlink r:id="rId10" w:anchor="ntr6-L_2021199EN.01003101-E0006" w:history="1">
              <w:r w:rsidRPr="00512765">
                <w:rPr>
                  <w:rFonts w:ascii="Times New Roman" w:eastAsia="Times New Roman" w:hAnsi="Times New Roman" w:cs="Times New Roman"/>
                  <w:color w:val="0000FF"/>
                  <w:sz w:val="24"/>
                  <w:szCs w:val="24"/>
                  <w:u w:val="single"/>
                  <w:lang w:eastAsia="pl-PL"/>
                </w:rPr>
                <w:t>(6)</w:t>
              </w:r>
            </w:hyperlink>
            <w:r w:rsidRPr="00512765">
              <w:rPr>
                <w:rFonts w:ascii="Times New Roman" w:eastAsia="Times New Roman" w:hAnsi="Times New Roman" w:cs="Times New Roman"/>
                <w:sz w:val="24"/>
                <w:szCs w:val="24"/>
                <w:lang w:eastAsia="pl-PL"/>
              </w:rPr>
              <w:t xml:space="preserve"> contain standard contractual clauses to facilitate the transfer of personal data from a data controller established in the Union to a controller or processor established in a third country that does not offer an adequate level of protection. Those decisions were based on Directive 95/46/EC of the European Parliament and of the Council </w:t>
            </w:r>
            <w:hyperlink r:id="rId11" w:anchor="ntr7-L_2021199EN.01003101-E0007" w:history="1">
              <w:r w:rsidRPr="00512765">
                <w:rPr>
                  <w:rFonts w:ascii="Times New Roman" w:eastAsia="Times New Roman" w:hAnsi="Times New Roman" w:cs="Times New Roman"/>
                  <w:color w:val="0000FF"/>
                  <w:sz w:val="24"/>
                  <w:szCs w:val="24"/>
                  <w:u w:val="single"/>
                  <w:lang w:eastAsia="pl-PL"/>
                </w:rPr>
                <w:t>(7)</w:t>
              </w:r>
            </w:hyperlink>
            <w:r w:rsidRPr="00512765">
              <w:rPr>
                <w:rFonts w:ascii="Times New Roman" w:eastAsia="Times New Roman" w:hAnsi="Times New Roman" w:cs="Times New Roman"/>
                <w:sz w:val="24"/>
                <w:szCs w:val="24"/>
                <w:lang w:eastAsia="pl-PL"/>
              </w:rPr>
              <w: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(6)</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Pursuant to Article 46(5) of Regulation (EU) 2016/679, Decision 2001/497/EC and Decision 2010/87/EU remain in force until amended, replaced or repealed, if necessary, by a Commission decision adopted pursuant to Article 46(2) of that Regulation. The standard contractual clauses in the decisions required updating in the light of new requirements in Regulation (EU) 2016/679. Moreover, since the decisions were adopted, the digital economy has seen significant developments, with the widespread use of new and more complex processing operations often involving multiple data importers and exporters, long and complex processing chains, and evolving business relationships. This calls for modernisation of the standard contractual clauses to reflect those realities better, by covering additional processing and transfer situations, and to allow a more flexible approach, for example with respect to the number of parties able to join the contract.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(7)</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 controller or processor may use the standard contractual clauses set out in the Annex to this Decision to provide appropriate safeguards within the meaning of Article 46(1) of Regulation (EU) 2016/679 for the transfer of personal data to a processor or controller established in a third country, without prejudice to the interpretation of the notion of international transfer in Regulation (EU) 2016/679. The standard contractual clauses may be used for such transfers only to the extent that the processing by the importer does not fall within the scope of Regulation (EU) 2016/679. This also includes the transfer of personal data by a controller or processor not established in the Union, to the extent that the processing is subject to Regulation (EU) 2016/679 (pursuant to Article 3(2) thereof), because it relates to the offering of goods or services to data subjects in the Union or the monitoring of their behaviour as far as it takes place within the Union.</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(8)</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Given the general alignment of Regulation (EU) 2016/679 and Regulation (EU) 2018/1725 of the European Parliament and of the Council </w:t>
            </w:r>
            <w:hyperlink r:id="rId12" w:anchor="ntr8-L_2021199EN.01003101-E0008" w:history="1">
              <w:r w:rsidRPr="00512765">
                <w:rPr>
                  <w:rFonts w:ascii="Times New Roman" w:eastAsia="Times New Roman" w:hAnsi="Times New Roman" w:cs="Times New Roman"/>
                  <w:color w:val="0000FF"/>
                  <w:sz w:val="24"/>
                  <w:szCs w:val="24"/>
                  <w:u w:val="single"/>
                  <w:lang w:eastAsia="pl-PL"/>
                </w:rPr>
                <w:t>(8)</w:t>
              </w:r>
            </w:hyperlink>
            <w:r w:rsidRPr="00512765">
              <w:rPr>
                <w:rFonts w:ascii="Times New Roman" w:eastAsia="Times New Roman" w:hAnsi="Times New Roman" w:cs="Times New Roman"/>
                <w:sz w:val="24"/>
                <w:szCs w:val="24"/>
                <w:lang w:eastAsia="pl-PL"/>
              </w:rPr>
              <w:t xml:space="preserve">, it should be possible to use the standard contractual clauses also in the context of a contract, as referred to in Article 29(4) of Regulation (EU) 2018/1725 for the transfer of personal data to a sub-processor in a third country by a processor that is not a Union institution or body, but which is subject to Regulation (EU) 2016/679 and which processes personal data on behalf of a Union institution or body in accordance with Article 29 of Regulation (EU) 2018/1725. Provided the contract reflects the same data protection obligations as set out in the contract or other legal act between the controller and the processor pursuant to Article 29(3) Regulation (EU) 2018/1725, in particular by providing sufficient guarantees for technical and organisational measures to ensure that the processing meets the requirements of that Regulation, this will ensure compliance with Article 29(4) of Regulation (EU) 2018/1725. In particular, that will be the case where the controller and processor use the standard contractual clauses in Commission Implementing Decision on standard contractual clauses </w:t>
            </w:r>
            <w:r w:rsidRPr="00512765">
              <w:rPr>
                <w:rFonts w:ascii="Times New Roman" w:eastAsia="Times New Roman" w:hAnsi="Times New Roman" w:cs="Times New Roman"/>
                <w:sz w:val="24"/>
                <w:szCs w:val="24"/>
                <w:lang w:eastAsia="pl-PL"/>
              </w:rPr>
              <w:lastRenderedPageBreak/>
              <w:t>between controllers and processors under Article 28(7) of Regulation (EU) 2016/679 of the European Parliament and of the Council and Article 29(7) of Regulation (EU) 2018/1725 of the European Parliament and of the Council </w:t>
            </w:r>
            <w:hyperlink r:id="rId13" w:anchor="ntr9-L_2021199EN.01003101-E0009" w:history="1">
              <w:r w:rsidRPr="00512765">
                <w:rPr>
                  <w:rFonts w:ascii="Times New Roman" w:eastAsia="Times New Roman" w:hAnsi="Times New Roman" w:cs="Times New Roman"/>
                  <w:color w:val="0000FF"/>
                  <w:sz w:val="24"/>
                  <w:szCs w:val="24"/>
                  <w:u w:val="single"/>
                  <w:lang w:eastAsia="pl-PL"/>
                </w:rPr>
                <w:t>(9)</w:t>
              </w:r>
            </w:hyperlink>
            <w:r w:rsidRPr="00512765">
              <w:rPr>
                <w:rFonts w:ascii="Times New Roman" w:eastAsia="Times New Roman" w:hAnsi="Times New Roman" w:cs="Times New Roman"/>
                <w:sz w:val="24"/>
                <w:szCs w:val="24"/>
                <w:lang w:eastAsia="pl-PL"/>
              </w:rPr>
              <w: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(9)</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the processing involves data transfers from controllers subject to Regulation (EU) 2016/679 to processors outside its territorial scope or from processors subject to Regulation (EU) 2016/679 to sub-processors outside its territorial scope, the standard contractual clauses set out in the Annex to this Decision should also allow to fulfil the requirements of Article 28(3) and (4) of Regulation (EU) 2016/679.</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(10)</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standard contractual clauses set out in the Annex to this Decision combine general clauses with a modular approach to cater for various transfer scenarios and the complexity of modern processing chains. In addition to the general clauses, controllers and processors should select the module applicable to their situation, so as to tailor their obligations under the standard contractual clauses to their role and responsibilities in relation to the data processing in question. It should be possible for more than two parties to adhere to the standard contractual clauses. Moreover, additional controllers and processors should be allowed to accede to the standard contractual clauses as data exporters or importers throughout the lifecycle of the contract of which they form a part.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(11)</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order to provide appropriate safeguards, the standard contractual clauses should ensure that the personal data transferred on that basis is afforded a level of protection essentially equivalent to that guaranteed within the Union </w:t>
            </w:r>
            <w:hyperlink r:id="rId14" w:anchor="ntr10-L_2021199EN.01003101-E0010" w:history="1">
              <w:r w:rsidRPr="00512765">
                <w:rPr>
                  <w:rFonts w:ascii="Times New Roman" w:eastAsia="Times New Roman" w:hAnsi="Times New Roman" w:cs="Times New Roman"/>
                  <w:color w:val="0000FF"/>
                  <w:sz w:val="24"/>
                  <w:szCs w:val="24"/>
                  <w:u w:val="single"/>
                  <w:lang w:eastAsia="pl-PL"/>
                </w:rPr>
                <w:t>(10)</w:t>
              </w:r>
            </w:hyperlink>
            <w:r w:rsidRPr="00512765">
              <w:rPr>
                <w:rFonts w:ascii="Times New Roman" w:eastAsia="Times New Roman" w:hAnsi="Times New Roman" w:cs="Times New Roman"/>
                <w:sz w:val="24"/>
                <w:szCs w:val="24"/>
                <w:lang w:eastAsia="pl-PL"/>
              </w:rPr>
              <w:t>. With a view to ensuring transparency of processing, data subjects should be provided with a copy of the standard contractual clauses and be informed, in particular, of the categories of personal data processed, the right to obtain a copy of the standard contractual clauses, and any onward transfer. Onward transfers by the data importer to a third party in another third country should be allowed only if the third party accedes to the standard contractual clauses, if the continuity of protection is ensured otherwise, or in specific situations, such as on the basis of the explicit, informed consent of the data subject.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(12)</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With some exceptions, in particular as regards certain obligations that exclusively concern the relationship between the data exporter and data importer, data subjects should be able to invoke, and where necessary enforce, the standard contractual clauses as third-party beneficiaries. Therefore, while the parties should be allowed to choose the law of one of the Member States as governing the standard contractual clauses, that law must allow for third-party beneficiary rights. In order to facilitate individual redress, the standard contractual clauses should require the data importer to inform data subjects of a contact point and to deal promptly with any complaints or requests. In the event of a dispute between the data importer and a data subject who invokes his or her rights as a third-party beneficiary, the data subject should be able to lodge a complaint with the competent supervisory authority or refer the dispute to the competent courts in the EU.</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(13)</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order to ensure effective enforcement, the data importer should be required to submit to the jurisdiction of such authority and courts, and to commit to abide by any binding decision under the applicable Member State law. In particular, the data importer should agree to respond to enquiries, submit to audits and comply with the measures adopted by the supervisory authority, including remedial and compensatory measures. In addition, the data importer should have the option of offering data subjects the opportunity to seek redress before an independent dispute resolution body, at no cost. In line with Article 80(1) of Regulation (EU) 2016/679, data subjects should be allowed to be represented by associations or other bodies in disputes against the data importer if they so wish.</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(14)</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The standard contractual clauses should provide for rules on liability between the parties and with respect to data subjects, and rules on indemnification between the parties. Where </w:t>
            </w:r>
            <w:r w:rsidRPr="00512765">
              <w:rPr>
                <w:rFonts w:ascii="Times New Roman" w:eastAsia="Times New Roman" w:hAnsi="Times New Roman" w:cs="Times New Roman"/>
                <w:sz w:val="24"/>
                <w:szCs w:val="24"/>
                <w:lang w:eastAsia="pl-PL"/>
              </w:rPr>
              <w:lastRenderedPageBreak/>
              <w:t>the data subject suffers material or non-material damage as a consequence of any breach of the third-party beneficiary rights under the standard contractual clauses, he or she should be entitled to compensation. This should be without prejudice to any liability under Regulation (EU) 2016/679.</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(15)</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the case of a transfer to a data importer acting as a processor or sub-processor, specific requirements should apply in accordance with Article 28(3) of Regulation (EU) 2016/679. The standard contractual clauses should require the data importer to make available all information necessary to demonstrate compliance with the obligations set out in the clauses and to allow for and contribute to audits of its processing activities by the data exporter. With respect to the engagement of any sub-processor by the data importer, in line with Article 28(2) and (4) of Regulation (EU) 2016/679, the standard contractual clauses should in particular set out the procedure for general or specific authorisation from the data exporter and the requirement for a written contract with the sub-processor ensuring the same level of protection as under the clauses.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(16)</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It is appropriate to provide different safeguards in the standard contractual clauses that cover the specific situation of a transfer of personal data by a processor in the Union to its controller in a third country and reflect the limited self-standing obligations for processors under Regulation (EU) 2016/679. In particular, the standard contractual clauses should require the processor to inform the controller if it is unable to follow its instructions, including if such instructions infringe Union data protection law, and require the controller to refrain from any actions that would prevent the processor from fulfilling its obligations under Regulation (EU) 2016/679. They should also require the parties to assist each other in responding to enquiries and requests from data subjects under the local law applicable to the data importer or, for data processing in the Union, under Regulation (EU) 2016/679. Additional requirements to address any effects of the laws of the third country of destination on the controller’s compliance with the clauses, in particular how to deal with binding requests from public authorities in the third country for disclosure of the transferred personal data, should apply where the Union processor combines the personal data received from the controller in the third country with personal data collected by the processor in the Union. Conversely, no such requirements are justified where the outsourcing merely involves the processing and transfer back of personal data that has been received from the controller and in any event has been and will remain subject to the jurisdiction of the third country in question.</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(17)</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should be able to demonstrate compliance with the standard contractual clauses. In particular, the data importer should be required to keep appropriate documentation for the processing activities under its responsibility and to inform the data exporter promptly if it is unable to comply with the clauses, for whatever reason. In turn, the data exporter should suspend the transfer and, in particularly serious cases, have the right to terminate the contract, insofar as it concerns the processing of personal data under standard contractual clauses, where the data importer is in breach of the clauses or unable to comply with them. Specific rules should apply where local laws affect compliance with the clauses. Personal data that has been transferred prior to the termination of the contract, and any copies thereof, should at the choice of the data exporter be returned to the data exporter or destroyed in their entirety.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(18)</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standard contractual clauses should provide for specific safeguards, in particular in the light of the case law of the Court of Justice </w:t>
            </w:r>
            <w:hyperlink r:id="rId15" w:anchor="ntr11-L_2021199EN.01003101-E0011" w:history="1">
              <w:r w:rsidRPr="00512765">
                <w:rPr>
                  <w:rFonts w:ascii="Times New Roman" w:eastAsia="Times New Roman" w:hAnsi="Times New Roman" w:cs="Times New Roman"/>
                  <w:color w:val="0000FF"/>
                  <w:sz w:val="24"/>
                  <w:szCs w:val="24"/>
                  <w:u w:val="single"/>
                  <w:lang w:eastAsia="pl-PL"/>
                </w:rPr>
                <w:t>(11)</w:t>
              </w:r>
            </w:hyperlink>
            <w:r w:rsidRPr="00512765">
              <w:rPr>
                <w:rFonts w:ascii="Times New Roman" w:eastAsia="Times New Roman" w:hAnsi="Times New Roman" w:cs="Times New Roman"/>
                <w:sz w:val="24"/>
                <w:szCs w:val="24"/>
                <w:lang w:eastAsia="pl-PL"/>
              </w:rPr>
              <w:t>, to address any effects of the laws of the third country of destination on the data importer’s compliance with the clauses, in particular how to deal with binding requests from public authorities in that country for disclosure of the transferred personal data.</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(19)</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transfer and processing of personal data under standard contractual clauses should not take place if the laws and practices of the third country of destination prevent the data importer from complying with the clauses. In this context, laws and practices that respect the essence of the fundamental rights and freedoms and do not exceed what is necessary and proportionate in a democratic society to safeguard one of the objectives listed in Article 23(1) of Regulation (EU) 2016/679 should not be considered as being in conflict with the standard contractual clauses. The parties should warrant that, at the time of agreeing to the standard contractual clauses, they have no reason to believe that the laws and practices applicable to the data importer are not in line with these requirements.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(20)</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should take account, in particular, of the specific circumstances of the transfer (such as the content and duration of the contract, the nature of the data to be transferred, the type of recipient, the purpose of the processing), the laws and practices of the third country of destination that are relevant in light of the circumstances of the transfer and any safeguards put in place to supplement those under the standard contractual clauses (including relevant contractual, technical and organisational measures applying to the transmission of personal data and its processing in the country of destination). As regards the impact of such laws and practices on compliance with the standard contractual clauses, different elements may be considered as part of an overall assessment, including reliable information on the application of the law in practice (such as case law and reports by independent oversight bodies), the existence or absence of requests in the same sector and, under strict conditions, the documented practical experience of the data exporter and/or data importer.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(21)</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should notify the data exporter if, after agreeing to the standard contractual clauses, it has reason to believe that it is not able to comply with the standard contractual clauses. If the data exporter receives such notification or otherwise becomes aware that the data importer is no longer able to comply with the standard contractual clauses, it should identify appropriate measures to address the situation, if necessary in consultation with the competent supervisory authority. Such measures may include supplementary measures adopted by the data exporter and/or data importer, such as technical or organisational measures to ensure security and confidentiality. The data exporter should be required to suspend the transfer if it considers that no appropriate safeguards can be ensured, or if so instructed by the competent supervisory authority.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(22)</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Where possible, the data importer should notify the data exporter and the data subject if it receives a legally binding request from a public (including judicial) authority under the law of the country of destination for disclosure of personal data transferred pursuant to the standard contractual clauses. Similarly, it should notify them if it becomes aware of any direct access by public authorities to such personal data, in accordance with the law of the third country of destination. If, despite its best efforts, the data importer is not in a position to notify the data exporter and/or the data subject of specific disclosure requests, it should provide the data exporter with as much relevant information as possible on the requests. In addition, the data importer should provide the data exporter with aggregate information at regular intervals. The data importer should also be required to document any request for disclosure received and the response provided, and make that information available to the data exporter or the competent supervisory authority, or both, upon request. If, following a review of the legality of such a request under the laws of the country of destination, the data importer concludes that there are reasonable grounds to consider that the request is unlawful under the laws of the third country of destination, it should challenge it, including, where appropriate, by exhausting available possibilities of appeal. In any event, if the data importer is no longer able to comply with the standard </w:t>
            </w:r>
            <w:r w:rsidRPr="00512765">
              <w:rPr>
                <w:rFonts w:ascii="Times New Roman" w:eastAsia="Times New Roman" w:hAnsi="Times New Roman" w:cs="Times New Roman"/>
                <w:sz w:val="24"/>
                <w:szCs w:val="24"/>
                <w:lang w:eastAsia="pl-PL"/>
              </w:rPr>
              <w:lastRenderedPageBreak/>
              <w:t>contractual clauses, it should inform the data exporter accordingly, including where this is the consequence of a request for disclosure.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(23)</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As stakeholder needs, technology and processing operations may change, the Commission should evaluate the operation of the standard contractual clauses in the light of experience, as part of the periodic evaluation of Regulation (EU) 2016/679 referred to in Article 97 of that Regulation.</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(24)</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Decision 2001/497/EC and Decision 2010/87/EU should be repealed three months after the entry into force of this Decision. During that period, data exporters and data importers should, for the purpose of Article 46(1) of Regulation (EU) 2016/679, still be able to use the standard contractual clauses set out in Decisions 2001/497/EC and 2010/87/EU. For an additional period of 15 months, data exporters and data importers should, for the purpose of Article 46(1) of Regulation (EU) 2016/679, be able to continue to rely on standard contractual clauses set out in Decisions 2001/497/EC and 2010/87/EU for the performance of contracts concluded between them before the date of repeal of those decisions, provided that the processing operations that are the subject matter of the contract remain unchanged and that reliance on the clauses ensures that the transfer of personal data is subject to appropriate safeguards within the meaning of Article 46(1) of Regulation (EU) 2016/679. In the event of relevant changes to the contract, the data exporter should be required to rely on a new ground for data transfers under the contract, in particular by replacing the existing standard contractual clauses with the standard contractual clauses set out in the Annex to this Decision. The same should apply to any sub-contracting to a (sub-)processor of processing operations covered by the contract.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(25)</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European Data Protection Supervisor and the European Data Protection Board were consulted in accordance with Article 42(1) and (2) of Regulation (EU) 2018/1725 and delivered a joint opinion on 14 January 2021 </w:t>
            </w:r>
            <w:hyperlink r:id="rId16" w:anchor="ntr12-L_2021199EN.01003101-E0012" w:history="1">
              <w:r w:rsidRPr="00512765">
                <w:rPr>
                  <w:rFonts w:ascii="Times New Roman" w:eastAsia="Times New Roman" w:hAnsi="Times New Roman" w:cs="Times New Roman"/>
                  <w:color w:val="0000FF"/>
                  <w:sz w:val="24"/>
                  <w:szCs w:val="24"/>
                  <w:u w:val="single"/>
                  <w:lang w:eastAsia="pl-PL"/>
                </w:rPr>
                <w:t>(12)</w:t>
              </w:r>
            </w:hyperlink>
            <w:r w:rsidRPr="00512765">
              <w:rPr>
                <w:rFonts w:ascii="Times New Roman" w:eastAsia="Times New Roman" w:hAnsi="Times New Roman" w:cs="Times New Roman"/>
                <w:sz w:val="24"/>
                <w:szCs w:val="24"/>
                <w:lang w:eastAsia="pl-PL"/>
              </w:rPr>
              <w:t>, which has been taken into consideration in the preparation of this Decision.</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(26)</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measures provided for in this Decision are in accordance with the opinion of the Committee established under Article 93 of Regulation (EU) 2016/679,</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HAS ADOPTED THIS DECISION:</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Article 1</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   The standard contractual clauses set out in the Annex are considered to provide appropriate safeguards within the meaning of Article 46(1) and (2)(c) of Regulation (EU) 2016/679 for the transfer by a controller or processor of personal data processed subject to that Regulation (data exporter) to a controller or (sub-)processor whose processing of the data is not subject to that Regulation (data importer).</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2.   The standard contractual clauses also set out the rights and obligations of controllers and processors with respect to the matters referred to in Article 28(3) and (4) of Regulation (EU) 2016/679, as regards the transfer of personal data from a controller to a processor, or from a processor to a sub-processor.</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Article 2</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Where the competent Member State authorities exercise corrective powers pursuant to Article 58 of Regulation (EU) 2016/679 in response to the data importer being or becoming subject to laws or practices in the third country of destination that prevent it from complying with the standard contractual clauses set out in the Annex, leading to the suspension or ban of </w:t>
      </w:r>
      <w:r w:rsidRPr="00512765">
        <w:rPr>
          <w:rFonts w:ascii="Times New Roman" w:eastAsia="Times New Roman" w:hAnsi="Times New Roman" w:cs="Times New Roman"/>
          <w:sz w:val="24"/>
          <w:szCs w:val="24"/>
          <w:lang w:eastAsia="pl-PL"/>
        </w:rPr>
        <w:lastRenderedPageBreak/>
        <w:t>data transfers to third countries, the Member State concerned shall, without delay, inform the Commission, which will forward the information to the other Member States.</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Article 3</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Commission shall evaluate the practical application of the standard contractual clauses set out in the Annex on the basis of all available information, as part of the periodic evaluation required by Article 97 of Regulation (EU) 2016/679.</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Article 4</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   This Decision shall enter into force on the twentieth day following that of its publication in the Official Journal of the European Union.</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2.   Decision 2001/497/EC is repealed with effect from 27 September 2021.</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3.   Decision 2010/87/EU is repealed with effect from 27 September 2021.</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4.   Contracts concluded before 27 September 2021 on the basis of Decision 2001/497/EC or Decision 2010/87/EU shall be deemed to provide appropriate safeguards within the meaning of Article 46(1) of Regulation (EU) 2016/679 until 27 December 2022, provided the processing operations that are the subject matter of the contract remain unchanged and that reliance on those clauses ensures that the transfer of personal data is subject to appropriate safeguards.</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Done at Brussels, 4 June 2021.</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For the Commission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The President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Ursula VON DER LEYEN</w:t>
      </w:r>
    </w:p>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pict>
          <v:rect id="_x0000_i1026" style="width:0;height:1.5pt" o:hralign="center" o:hrstd="t" o:hr="t" fillcolor="#a0a0a0" stroked="f"/>
        </w:pic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17" w:anchor="ntc1-L_2021199EN.01003101-E0001" w:history="1">
        <w:r w:rsidRPr="00512765">
          <w:rPr>
            <w:rFonts w:ascii="Times New Roman" w:eastAsia="Times New Roman" w:hAnsi="Times New Roman" w:cs="Times New Roman"/>
            <w:color w:val="0000FF"/>
            <w:sz w:val="24"/>
            <w:szCs w:val="24"/>
            <w:u w:val="single"/>
            <w:lang w:eastAsia="pl-PL"/>
          </w:rPr>
          <w:t>(1)</w:t>
        </w:r>
      </w:hyperlink>
      <w:r w:rsidRPr="00512765">
        <w:rPr>
          <w:rFonts w:ascii="Times New Roman" w:eastAsia="Times New Roman" w:hAnsi="Times New Roman" w:cs="Times New Roman"/>
          <w:sz w:val="24"/>
          <w:szCs w:val="24"/>
          <w:lang w:eastAsia="pl-PL"/>
        </w:rPr>
        <w:t>  </w:t>
      </w:r>
      <w:hyperlink r:id="rId18" w:history="1">
        <w:r w:rsidRPr="00512765">
          <w:rPr>
            <w:rFonts w:ascii="Times New Roman" w:eastAsia="Times New Roman" w:hAnsi="Times New Roman" w:cs="Times New Roman"/>
            <w:color w:val="0000FF"/>
            <w:sz w:val="24"/>
            <w:szCs w:val="24"/>
            <w:u w:val="single"/>
            <w:lang w:eastAsia="pl-PL"/>
          </w:rPr>
          <w:t>OJ L 119, 4.5.2016, p. 1</w:t>
        </w:r>
      </w:hyperlink>
      <w:r w:rsidRPr="00512765">
        <w:rPr>
          <w:rFonts w:ascii="Times New Roman" w:eastAsia="Times New Roman" w:hAnsi="Times New Roman" w:cs="Times New Roman"/>
          <w:sz w:val="24"/>
          <w:szCs w:val="24"/>
          <w:lang w:eastAsia="pl-PL"/>
        </w:rPr>
        <w:t>.</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19" w:anchor="ntc2-L_2021199EN.01003101-E0002" w:history="1">
        <w:r w:rsidRPr="00512765">
          <w:rPr>
            <w:rFonts w:ascii="Times New Roman" w:eastAsia="Times New Roman" w:hAnsi="Times New Roman" w:cs="Times New Roman"/>
            <w:color w:val="0000FF"/>
            <w:sz w:val="24"/>
            <w:szCs w:val="24"/>
            <w:u w:val="single"/>
            <w:lang w:eastAsia="pl-PL"/>
          </w:rPr>
          <w:t>(2)</w:t>
        </w:r>
      </w:hyperlink>
      <w:r w:rsidRPr="00512765">
        <w:rPr>
          <w:rFonts w:ascii="Times New Roman" w:eastAsia="Times New Roman" w:hAnsi="Times New Roman" w:cs="Times New Roman"/>
          <w:sz w:val="24"/>
          <w:szCs w:val="24"/>
          <w:lang w:eastAsia="pl-PL"/>
        </w:rPr>
        <w:t>  Article 44 of Regulation (EU) 2016/679.</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20" w:anchor="ntc3-L_2021199EN.01003101-E0003" w:history="1">
        <w:r w:rsidRPr="00512765">
          <w:rPr>
            <w:rFonts w:ascii="Times New Roman" w:eastAsia="Times New Roman" w:hAnsi="Times New Roman" w:cs="Times New Roman"/>
            <w:color w:val="0000FF"/>
            <w:sz w:val="24"/>
            <w:szCs w:val="24"/>
            <w:u w:val="single"/>
            <w:lang w:eastAsia="pl-PL"/>
          </w:rPr>
          <w:t>(3)</w:t>
        </w:r>
      </w:hyperlink>
      <w:r w:rsidRPr="00512765">
        <w:rPr>
          <w:rFonts w:ascii="Times New Roman" w:eastAsia="Times New Roman" w:hAnsi="Times New Roman" w:cs="Times New Roman"/>
          <w:sz w:val="24"/>
          <w:szCs w:val="24"/>
          <w:lang w:eastAsia="pl-PL"/>
        </w:rPr>
        <w:t>  See also judgment of the Court of Justice of 16 July 2020 in Case C-311/18, Data Protection Commissioner v Facebook Ireland Ltd and Maximillian Schrems (‘Schrems II’), ECLI:EU:C:2020:559, paragraph 93.</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21" w:anchor="ntc4-L_2021199EN.01003101-E0004" w:history="1">
        <w:r w:rsidRPr="00512765">
          <w:rPr>
            <w:rFonts w:ascii="Times New Roman" w:eastAsia="Times New Roman" w:hAnsi="Times New Roman" w:cs="Times New Roman"/>
            <w:color w:val="0000FF"/>
            <w:sz w:val="24"/>
            <w:szCs w:val="24"/>
            <w:u w:val="single"/>
            <w:lang w:eastAsia="pl-PL"/>
          </w:rPr>
          <w:t>(4)</w:t>
        </w:r>
      </w:hyperlink>
      <w:r w:rsidRPr="00512765">
        <w:rPr>
          <w:rFonts w:ascii="Times New Roman" w:eastAsia="Times New Roman" w:hAnsi="Times New Roman" w:cs="Times New Roman"/>
          <w:sz w:val="24"/>
          <w:szCs w:val="24"/>
          <w:lang w:eastAsia="pl-PL"/>
        </w:rPr>
        <w:t>  Recital 109 of Regulation (EU) 2016/679.</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22" w:anchor="ntc5-L_2021199EN.01003101-E0005" w:history="1">
        <w:r w:rsidRPr="00512765">
          <w:rPr>
            <w:rFonts w:ascii="Times New Roman" w:eastAsia="Times New Roman" w:hAnsi="Times New Roman" w:cs="Times New Roman"/>
            <w:color w:val="0000FF"/>
            <w:sz w:val="24"/>
            <w:szCs w:val="24"/>
            <w:u w:val="single"/>
            <w:lang w:eastAsia="pl-PL"/>
          </w:rPr>
          <w:t>(5)</w:t>
        </w:r>
      </w:hyperlink>
      <w:r w:rsidRPr="00512765">
        <w:rPr>
          <w:rFonts w:ascii="Times New Roman" w:eastAsia="Times New Roman" w:hAnsi="Times New Roman" w:cs="Times New Roman"/>
          <w:sz w:val="24"/>
          <w:szCs w:val="24"/>
          <w:lang w:eastAsia="pl-PL"/>
        </w:rPr>
        <w:t>  Commission Decision 2001/497/EC of 15 June 2001 on standard contractual clauses for the transfer of personal data to third countries, under Directive 95/46/EC (</w:t>
      </w:r>
      <w:hyperlink r:id="rId23" w:history="1">
        <w:r w:rsidRPr="00512765">
          <w:rPr>
            <w:rFonts w:ascii="Times New Roman" w:eastAsia="Times New Roman" w:hAnsi="Times New Roman" w:cs="Times New Roman"/>
            <w:color w:val="0000FF"/>
            <w:sz w:val="24"/>
            <w:szCs w:val="24"/>
            <w:u w:val="single"/>
            <w:lang w:eastAsia="pl-PL"/>
          </w:rPr>
          <w:t>OJ L 181, 4.7.2001, p. 19</w:t>
        </w:r>
      </w:hyperlink>
      <w:r w:rsidRPr="00512765">
        <w:rPr>
          <w:rFonts w:ascii="Times New Roman" w:eastAsia="Times New Roman" w:hAnsi="Times New Roman" w:cs="Times New Roman"/>
          <w:sz w:val="24"/>
          <w:szCs w:val="24"/>
          <w:lang w:eastAsia="pl-PL"/>
        </w:rPr>
        <w:t>).</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24" w:anchor="ntc6-L_2021199EN.01003101-E0006" w:history="1">
        <w:r w:rsidRPr="00512765">
          <w:rPr>
            <w:rFonts w:ascii="Times New Roman" w:eastAsia="Times New Roman" w:hAnsi="Times New Roman" w:cs="Times New Roman"/>
            <w:color w:val="0000FF"/>
            <w:sz w:val="24"/>
            <w:szCs w:val="24"/>
            <w:u w:val="single"/>
            <w:lang w:eastAsia="pl-PL"/>
          </w:rPr>
          <w:t>(6)</w:t>
        </w:r>
      </w:hyperlink>
      <w:r w:rsidRPr="00512765">
        <w:rPr>
          <w:rFonts w:ascii="Times New Roman" w:eastAsia="Times New Roman" w:hAnsi="Times New Roman" w:cs="Times New Roman"/>
          <w:sz w:val="24"/>
          <w:szCs w:val="24"/>
          <w:lang w:eastAsia="pl-PL"/>
        </w:rPr>
        <w:t>  Commission Decision 2010/87/EU of 5 February 2010 on standard contractual clauses for the transfer of personal data to processors established in third countries under Directive 95/46/EC of the European Parliament and of the Council (</w:t>
      </w:r>
      <w:hyperlink r:id="rId25" w:history="1">
        <w:r w:rsidRPr="00512765">
          <w:rPr>
            <w:rFonts w:ascii="Times New Roman" w:eastAsia="Times New Roman" w:hAnsi="Times New Roman" w:cs="Times New Roman"/>
            <w:color w:val="0000FF"/>
            <w:sz w:val="24"/>
            <w:szCs w:val="24"/>
            <w:u w:val="single"/>
            <w:lang w:eastAsia="pl-PL"/>
          </w:rPr>
          <w:t>OJ L 39, 12.2.2010, p. 5</w:t>
        </w:r>
      </w:hyperlink>
      <w:r w:rsidRPr="00512765">
        <w:rPr>
          <w:rFonts w:ascii="Times New Roman" w:eastAsia="Times New Roman" w:hAnsi="Times New Roman" w:cs="Times New Roman"/>
          <w:sz w:val="24"/>
          <w:szCs w:val="24"/>
          <w:lang w:eastAsia="pl-PL"/>
        </w:rPr>
        <w:t>).</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26" w:anchor="ntc7-L_2021199EN.01003101-E0007" w:history="1">
        <w:r w:rsidRPr="00512765">
          <w:rPr>
            <w:rFonts w:ascii="Times New Roman" w:eastAsia="Times New Roman" w:hAnsi="Times New Roman" w:cs="Times New Roman"/>
            <w:color w:val="0000FF"/>
            <w:sz w:val="24"/>
            <w:szCs w:val="24"/>
            <w:u w:val="single"/>
            <w:lang w:eastAsia="pl-PL"/>
          </w:rPr>
          <w:t>(7)</w:t>
        </w:r>
      </w:hyperlink>
      <w:r w:rsidRPr="00512765">
        <w:rPr>
          <w:rFonts w:ascii="Times New Roman" w:eastAsia="Times New Roman" w:hAnsi="Times New Roman" w:cs="Times New Roman"/>
          <w:sz w:val="24"/>
          <w:szCs w:val="24"/>
          <w:lang w:eastAsia="pl-PL"/>
        </w:rPr>
        <w:t>  Directive 95/46/EC of the European Parliament and of the Council of 24 October 1995 on the protection of individuals with regard to the processing of personal data and on the free movement of such data (</w:t>
      </w:r>
      <w:hyperlink r:id="rId27" w:history="1">
        <w:r w:rsidRPr="00512765">
          <w:rPr>
            <w:rFonts w:ascii="Times New Roman" w:eastAsia="Times New Roman" w:hAnsi="Times New Roman" w:cs="Times New Roman"/>
            <w:color w:val="0000FF"/>
            <w:sz w:val="24"/>
            <w:szCs w:val="24"/>
            <w:u w:val="single"/>
            <w:lang w:eastAsia="pl-PL"/>
          </w:rPr>
          <w:t>OJ L 281, 23.11.1995, p. 31</w:t>
        </w:r>
      </w:hyperlink>
      <w:r w:rsidRPr="00512765">
        <w:rPr>
          <w:rFonts w:ascii="Times New Roman" w:eastAsia="Times New Roman" w:hAnsi="Times New Roman" w:cs="Times New Roman"/>
          <w:sz w:val="24"/>
          <w:szCs w:val="24"/>
          <w:lang w:eastAsia="pl-PL"/>
        </w:rPr>
        <w:t>).</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28" w:anchor="ntc8-L_2021199EN.01003101-E0008" w:history="1">
        <w:r w:rsidRPr="00512765">
          <w:rPr>
            <w:rFonts w:ascii="Times New Roman" w:eastAsia="Times New Roman" w:hAnsi="Times New Roman" w:cs="Times New Roman"/>
            <w:color w:val="0000FF"/>
            <w:sz w:val="24"/>
            <w:szCs w:val="24"/>
            <w:u w:val="single"/>
            <w:lang w:eastAsia="pl-PL"/>
          </w:rPr>
          <w:t>(8)</w:t>
        </w:r>
      </w:hyperlink>
      <w:r w:rsidRPr="00512765">
        <w:rPr>
          <w:rFonts w:ascii="Times New Roman" w:eastAsia="Times New Roman" w:hAnsi="Times New Roman" w:cs="Times New Roman"/>
          <w:sz w:val="24"/>
          <w:szCs w:val="24"/>
          <w:lang w:eastAsia="pl-PL"/>
        </w:rPr>
        <w:t>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hyperlink r:id="rId29" w:history="1">
        <w:r w:rsidRPr="00512765">
          <w:rPr>
            <w:rFonts w:ascii="Times New Roman" w:eastAsia="Times New Roman" w:hAnsi="Times New Roman" w:cs="Times New Roman"/>
            <w:color w:val="0000FF"/>
            <w:sz w:val="24"/>
            <w:szCs w:val="24"/>
            <w:u w:val="single"/>
            <w:lang w:eastAsia="pl-PL"/>
          </w:rPr>
          <w:t>OJ L 295, 21.11.2018, p. 39</w:t>
        </w:r>
      </w:hyperlink>
      <w:r w:rsidRPr="00512765">
        <w:rPr>
          <w:rFonts w:ascii="Times New Roman" w:eastAsia="Times New Roman" w:hAnsi="Times New Roman" w:cs="Times New Roman"/>
          <w:sz w:val="24"/>
          <w:szCs w:val="24"/>
          <w:lang w:eastAsia="pl-PL"/>
        </w:rPr>
        <w:t>); see recital 5.</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30" w:anchor="ntc9-L_2021199EN.01003101-E0009" w:history="1">
        <w:r w:rsidRPr="00512765">
          <w:rPr>
            <w:rFonts w:ascii="Times New Roman" w:eastAsia="Times New Roman" w:hAnsi="Times New Roman" w:cs="Times New Roman"/>
            <w:color w:val="0000FF"/>
            <w:sz w:val="24"/>
            <w:szCs w:val="24"/>
            <w:u w:val="single"/>
            <w:lang w:eastAsia="pl-PL"/>
          </w:rPr>
          <w:t>(9)</w:t>
        </w:r>
      </w:hyperlink>
      <w:r w:rsidRPr="00512765">
        <w:rPr>
          <w:rFonts w:ascii="Times New Roman" w:eastAsia="Times New Roman" w:hAnsi="Times New Roman" w:cs="Times New Roman"/>
          <w:sz w:val="24"/>
          <w:szCs w:val="24"/>
          <w:lang w:eastAsia="pl-PL"/>
        </w:rPr>
        <w:t>  C(2021) 3701.</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31" w:anchor="ntc10-L_2021199EN.01003101-E0010" w:history="1">
        <w:r w:rsidRPr="00512765">
          <w:rPr>
            <w:rFonts w:ascii="Times New Roman" w:eastAsia="Times New Roman" w:hAnsi="Times New Roman" w:cs="Times New Roman"/>
            <w:color w:val="0000FF"/>
            <w:sz w:val="24"/>
            <w:szCs w:val="24"/>
            <w:u w:val="single"/>
            <w:lang w:eastAsia="pl-PL"/>
          </w:rPr>
          <w:t>(10)</w:t>
        </w:r>
      </w:hyperlink>
      <w:r w:rsidRPr="00512765">
        <w:rPr>
          <w:rFonts w:ascii="Times New Roman" w:eastAsia="Times New Roman" w:hAnsi="Times New Roman" w:cs="Times New Roman"/>
          <w:sz w:val="24"/>
          <w:szCs w:val="24"/>
          <w:lang w:eastAsia="pl-PL"/>
        </w:rPr>
        <w:t>  Schrems II, paragraphs 96 and 103. See also Regulation (EU) 2016/679, recitals 108 and 114.</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32" w:anchor="ntc11-L_2021199EN.01003101-E0011" w:history="1">
        <w:r w:rsidRPr="00512765">
          <w:rPr>
            <w:rFonts w:ascii="Times New Roman" w:eastAsia="Times New Roman" w:hAnsi="Times New Roman" w:cs="Times New Roman"/>
            <w:color w:val="0000FF"/>
            <w:sz w:val="24"/>
            <w:szCs w:val="24"/>
            <w:u w:val="single"/>
            <w:lang w:eastAsia="pl-PL"/>
          </w:rPr>
          <w:t>(11)</w:t>
        </w:r>
      </w:hyperlink>
      <w:r w:rsidRPr="00512765">
        <w:rPr>
          <w:rFonts w:ascii="Times New Roman" w:eastAsia="Times New Roman" w:hAnsi="Times New Roman" w:cs="Times New Roman"/>
          <w:sz w:val="24"/>
          <w:szCs w:val="24"/>
          <w:lang w:eastAsia="pl-PL"/>
        </w:rPr>
        <w:t>  Schrems II.</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33" w:anchor="ntc12-L_2021199EN.01003101-E0012" w:history="1">
        <w:r w:rsidRPr="00512765">
          <w:rPr>
            <w:rFonts w:ascii="Times New Roman" w:eastAsia="Times New Roman" w:hAnsi="Times New Roman" w:cs="Times New Roman"/>
            <w:color w:val="0000FF"/>
            <w:sz w:val="24"/>
            <w:szCs w:val="24"/>
            <w:u w:val="single"/>
            <w:lang w:eastAsia="pl-PL"/>
          </w:rPr>
          <w:t>(12)</w:t>
        </w:r>
      </w:hyperlink>
      <w:r w:rsidRPr="00512765">
        <w:rPr>
          <w:rFonts w:ascii="Times New Roman" w:eastAsia="Times New Roman" w:hAnsi="Times New Roman" w:cs="Times New Roman"/>
          <w:sz w:val="24"/>
          <w:szCs w:val="24"/>
          <w:lang w:eastAsia="pl-PL"/>
        </w:rPr>
        <w:t>  EDPB EDPS Joint Opinion 2/2021 on the European Commission’s Implementing Decision on standard contractual clauses for the transfer of personal data to third countries for the matters referred to in Article 46(2)(c) of Regulation (EU) 2016/679.</w:t>
      </w:r>
    </w:p>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pict>
          <v:rect id="_x0000_i1027" style="width:0;height:1.5pt" o:hralign="center" o:hrstd="t" o:hr="t" fillcolor="#a0a0a0" stroked="f"/>
        </w:pic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ANNEX</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STANDARD CONTRACTUAL CLAUSES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SECTION I</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1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Purpose and scope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w:t>
            </w:r>
            <w:hyperlink r:id="rId34" w:anchor="ntr1-L_2021199EN.01003701-E0001" w:history="1">
              <w:r w:rsidRPr="00512765">
                <w:rPr>
                  <w:rFonts w:ascii="Times New Roman" w:eastAsia="Times New Roman" w:hAnsi="Times New Roman" w:cs="Times New Roman"/>
                  <w:color w:val="0000FF"/>
                  <w:sz w:val="24"/>
                  <w:szCs w:val="24"/>
                  <w:u w:val="single"/>
                  <w:lang w:eastAsia="pl-PL"/>
                </w:rPr>
                <w:t>(1)</w:t>
              </w:r>
            </w:hyperlink>
            <w:r w:rsidRPr="00512765">
              <w:rPr>
                <w:rFonts w:ascii="Times New Roman" w:eastAsia="Times New Roman" w:hAnsi="Times New Roman" w:cs="Times New Roman"/>
                <w:sz w:val="24"/>
                <w:szCs w:val="24"/>
                <w:lang w:eastAsia="pl-PL"/>
              </w:rPr>
              <w:t xml:space="preserve"> for the transfer of personal data to a third country.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w:t>
            </w:r>
          </w:p>
          <w:tbl>
            <w:tblPr>
              <w:tblW w:w="5000" w:type="pct"/>
              <w:tblCellSpacing w:w="0" w:type="dxa"/>
              <w:tblCellMar>
                <w:left w:w="0" w:type="dxa"/>
                <w:right w:w="0" w:type="dxa"/>
              </w:tblCellMar>
              <w:tblLook w:val="04A0" w:firstRow="1" w:lastRow="0" w:firstColumn="1" w:lastColumn="0" w:noHBand="0" w:noVBand="1"/>
            </w:tblPr>
            <w:tblGrid>
              <w:gridCol w:w="227"/>
              <w:gridCol w:w="8565"/>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natural or legal person(s), public authority/ies, agency/ies or other body/ies (hereinafter ‘entity/ies’) transferring the personal data, as listed in Annex I.A (hereinafter each ‘data exporter’), and</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498"/>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entity/ies in a third country receiving the personal data from the data exporter, directly or indirectly via another entity also Party to these Clauses, as listed in Annex I.A (hereinafter each ‘data importer’)</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have agreed to these standard contractual clauses (hereinafter: ‘Clauses’).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9"/>
        <w:gridCol w:w="8803"/>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These Clauses apply with respect to the transfer of personal data as specified in Annex I.B.</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Appendix to these Clauses containing the Annexes referred to therein forms an integral part of these Clauses.</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2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Effect and invariability of the Clauses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These Clauses are without prejudice to obligations to which the data exporter is subject by virtue of Regulation (EU) 2016/679.</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3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Third-party beneficiaries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Data subjects may invoke and enforce these Clauses, as third-party beneficiaries, against the data exporter and/or data importer, with the following exceptions:</w:t>
            </w:r>
          </w:p>
          <w:tbl>
            <w:tblPr>
              <w:tblW w:w="5000" w:type="pct"/>
              <w:tblCellSpacing w:w="0" w:type="dxa"/>
              <w:tblCellMar>
                <w:left w:w="0" w:type="dxa"/>
                <w:right w:w="0" w:type="dxa"/>
              </w:tblCellMar>
              <w:tblLook w:val="04A0" w:firstRow="1" w:lastRow="0" w:firstColumn="1" w:lastColumn="0" w:noHBand="0" w:noVBand="1"/>
            </w:tblPr>
            <w:tblGrid>
              <w:gridCol w:w="405"/>
              <w:gridCol w:w="8400"/>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Clause 1, Clause 2, Clause 3, Clause 6, Clause 7;</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11"/>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Clause 8 – Module One: Clause 8.5 (e) and Clause 8.9(b); Module Two: Clause 8.1(b), 8.9(a), (c), (d) and (e); Module Three: Clause 8.1(a), (c) and (d) and Clause 8.9(a), (c), (d), (e), (f) and (g); Module Four: Clause 8.1 (b) and Clause 8.3(b);</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445"/>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Clause 9 – Module Two: Clause 9(a), (c), (d) and (e); Module Three: Clause 9(a), (c), (d) and (e);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458"/>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(iv)</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Clause 12 – Module One: Clause 12(a) and (d); Modules Two and Three: Clause 12(a), (d) and (f);</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896"/>
              <w:gridCol w:w="6909"/>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(v)</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Clause 13;</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037"/>
              <w:gridCol w:w="7768"/>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(vi)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Clause 15.1(c), (d) and (e);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143"/>
              <w:gridCol w:w="6662"/>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(vii)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Clause 16(e);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480"/>
              <w:gridCol w:w="8325"/>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(viii)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Clause 18 – Modules One, Two and Three: Clause 18(a) and (b); Module Four: Clause 18.</w:t>
                  </w:r>
                </w:p>
              </w:tc>
            </w:tr>
          </w:tbl>
          <w:p w:rsidR="00512765" w:rsidRPr="00512765" w:rsidRDefault="00512765" w:rsidP="00512765">
            <w:pPr>
              <w:spacing w:after="0" w:line="240" w:lineRule="auto"/>
              <w:rPr>
                <w:rFonts w:ascii="Times New Roman" w:eastAsia="Times New Roman" w:hAnsi="Times New Roman" w:cs="Times New Roman"/>
                <w:sz w:val="24"/>
                <w:szCs w:val="24"/>
                <w:lang w:eastAsia="pl-PL"/>
              </w:rPr>
            </w:pP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Paragraph (a) is without prejudice to rights of data subjects under Regulation (EU) 2016/679.</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4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Interpretation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these Clauses use terms that are defined in Regulation (EU) 2016/679, those terms shall have the same meaning as in that Regulation.</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These Clauses shall be read and interpreted in the light of the provisions of Regulation (EU) 2016/679.</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These Clauses shall not be interpreted in a way that conflicts with rights and obligations provided for in Regulation (EU) 2016/679.</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5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Hierarchy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the event of a contradiction between these Clauses and the provisions of related agreements between the Parties, existing at the time these Clauses are agreed or entered into thereafter, these Clauses shall prevail.</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6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Description of the transfer(s)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details of the transfer(s), and in particular the categories of personal data that are transferred and the purpose(s) for which they are transferred, are specified in Annex I.B.</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7 – Optional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Docking clause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An entity that is not a Party to these Clauses may, with the agreement of the Parties, accede to these Clauses at any time, either as a data exporter or as a data importer, by completing the Appendix and signing Annex I.A.</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Once it has completed the Appendix and signed Annex I.A, the acceding entity shall become a Party to these Clauses and have the rights and obligations of a data exporter or data importer in accordance with its designation in Annex I.A.</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acceding entity shall have no rights or obligations arising under these Clauses from the period prior to becoming a Party.</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SECTION II – OBLIGATIONS OF THE PARTIES</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8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Data protection safeguards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exporter warrants that it has used reasonable efforts to determine that the data importer is able, through the implementation of appropriate technical and organisational measures, to satisfy its obligations under these Clauses.</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ONE: Transfer controller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8.1   Purpose limitation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The data importer shall process the personal data only for the specific purpose(s) of the transfer, as set out in Annex I.B. It may only process the personal data for another purpose:</w:t>
      </w:r>
    </w:p>
    <w:tbl>
      <w:tblPr>
        <w:tblW w:w="5000" w:type="pct"/>
        <w:tblCellSpacing w:w="0" w:type="dxa"/>
        <w:tblCellMar>
          <w:left w:w="0" w:type="dxa"/>
          <w:right w:w="0" w:type="dxa"/>
        </w:tblCellMar>
        <w:tblLook w:val="04A0" w:firstRow="1" w:lastRow="0" w:firstColumn="1" w:lastColumn="0" w:noHBand="0" w:noVBand="1"/>
      </w:tblPr>
      <w:tblGrid>
        <w:gridCol w:w="382"/>
        <w:gridCol w:w="8690"/>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it has obtained the data subject’s prior consent;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necessary for the establishment, exercise or defence of legal claims in the context of specific administrative, regulatory or judicial proceedings; or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necessary in order to protect the vital interests of the data subject or of another natural person.</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8.2   Transparency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order to enable data subjects to effectively exercise their rights pursuant to Clause 10, the data importer shall inform them, either directly or through the data exporter:</w:t>
            </w:r>
          </w:p>
          <w:tbl>
            <w:tblPr>
              <w:tblW w:w="5000" w:type="pct"/>
              <w:tblCellSpacing w:w="0" w:type="dxa"/>
              <w:tblCellMar>
                <w:left w:w="0" w:type="dxa"/>
                <w:right w:w="0" w:type="dxa"/>
              </w:tblCellMar>
              <w:tblLook w:val="04A0" w:firstRow="1" w:lastRow="0" w:firstColumn="1" w:lastColumn="0" w:noHBand="0" w:noVBand="1"/>
            </w:tblPr>
            <w:tblGrid>
              <w:gridCol w:w="584"/>
              <w:gridCol w:w="8221"/>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of its identity and contact details;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569"/>
              <w:gridCol w:w="8236"/>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of the categories of personal data processed;</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673"/>
              <w:gridCol w:w="8132"/>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of the right to obtain a copy of these Clauses;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458"/>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(iv)</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it intends to onward transfer the personal data to any third party/ies, of the recipient or categories of recipients (as appropriate with a view to providing meaningful information), the purpose of such onward transfer and the ground therefore pursuant to Clause 8.7.</w:t>
                  </w:r>
                </w:p>
              </w:tc>
            </w:tr>
          </w:tbl>
          <w:p w:rsidR="00512765" w:rsidRPr="00512765" w:rsidRDefault="00512765" w:rsidP="00512765">
            <w:pPr>
              <w:spacing w:after="0" w:line="240" w:lineRule="auto"/>
              <w:rPr>
                <w:rFonts w:ascii="Times New Roman" w:eastAsia="Times New Roman" w:hAnsi="Times New Roman" w:cs="Times New Roman"/>
                <w:sz w:val="24"/>
                <w:szCs w:val="24"/>
                <w:lang w:eastAsia="pl-PL"/>
              </w:rPr>
            </w:pP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Paragraph (a) shall not apply where the data subject already has the information, including when such information has already been provided by the data exporter, or providing the information proves impossible or would involve a disproportionate effort for the data importer. In the latter case, the data importer shall, to the extent possible, make the information publicly available.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On request, the Parties shall make a copy of these Clauses, including the Appendix as completed by them, available to the data subject free of charge. To the extent necessary to protect business secrets or other confidential information, including personal data, the Parties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Paragraphs (a) to (c) are without prejudice to the obligations of the data exporter under Articles 13 and 14 of Regulation (EU) 2016/679.</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8.3   Accuracy and data minimisation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Each Party shall ensure that the personal data is accurate and, where necessary, kept up to date. The data importer shall take every reasonable step to ensure that personal data that is inaccurate, having regard to the purpose(s) of processing, is erased or rectified without delay.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If one of the Parties becomes aware that the personal data it has transferred or received is inaccurate, or has become outdated, it shall inform the other Party without undue delay.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ensure that the personal data is adequate, relevant and limited to what is necessary in relation to the purpose(s) of processing.</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8.4   Storage limitation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The data importer shall retain the personal data for no longer than necessary for the purpose(s) for which it is processed. It shall put in place appropriate technical or organisational measures to ensure compliance with this obligation, including erasure or anonymisation </w:t>
      </w:r>
      <w:hyperlink r:id="rId35" w:anchor="ntr2-L_2021199EN.01003701-E0002" w:history="1">
        <w:r w:rsidRPr="00512765">
          <w:rPr>
            <w:rFonts w:ascii="Times New Roman" w:eastAsia="Times New Roman" w:hAnsi="Times New Roman" w:cs="Times New Roman"/>
            <w:color w:val="0000FF"/>
            <w:sz w:val="24"/>
            <w:szCs w:val="24"/>
            <w:u w:val="single"/>
            <w:lang w:eastAsia="pl-PL"/>
          </w:rPr>
          <w:t>(2)</w:t>
        </w:r>
      </w:hyperlink>
      <w:r w:rsidRPr="00512765">
        <w:rPr>
          <w:rFonts w:ascii="Times New Roman" w:eastAsia="Times New Roman" w:hAnsi="Times New Roman" w:cs="Times New Roman"/>
          <w:sz w:val="24"/>
          <w:szCs w:val="24"/>
          <w:lang w:eastAsia="pl-PL"/>
        </w:rPr>
        <w:t xml:space="preserve"> of the data and all back-ups at the end of the retention period.</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8.5   Security of processing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and, during transmission, also the data exporter shall implement appropriate technical and organisational measures to ensure the security of the personal data, including protection against a breach of security leading to accidental or unlawful destruction, loss, alteration, unauthorised disclosure or access (hereinafter ‘personal data breach’). In assessing the appropriate level of security, they shall take due account of the state of the art, the costs of implementation, the nature, scope, context and purpose(s) of processing and the risks involved in the processing for the data subject. The Parties shall in particular consider having recourse to encryption or pseudonymisation, including during transmission, where the purpose of processing can be fulfilled in that manner.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have agreed on the technical and organisational measures set out in Annex II. The data importer shall carry out regular checks to ensure that these measures continue to provide an appropriate level of security.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ensure that persons authorised to process the personal data have committed themselves to confidentiality or are under an appropriate statutory obligation of confidentiality.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the event of a personal data breach concerning personal data processed by the data importer under these Clauses, the data importer shall take appropriate measures to address the personal data breach, including measures to mitigate its possible adverse effects.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case of a personal data breach that is likely to result in a risk to the rights and freedoms of natural persons, the data importer shall without undue delay notify both the data exporter and the competent supervisory authority pursuant to Clause 13. Such notification shall contain i) a description of the nature of the breach (including, where possible, categories and approximate number of data subjects and personal data records concerned), ii) its likely consequences, iii) the measures taken or proposed to address the breach, and iv) the details of a contact point from whom more information can be obtained. To the extent it is not possible for the data importer to provide all the information at the same time, it may do so in phases without undue further delay.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(f)</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case of a personal data breach that is likely to result in a high risk to the rights and freedoms of natural persons, the data importer shall also notify without undue delay the data subjects concerned of the personal 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(g)</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document all relevant facts relating to the personal data breach, including its effects and any remedial action taken, and keep a record thereof.</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8.6   Sensitive data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w:t>
      </w:r>
      <w:r w:rsidRPr="00512765">
        <w:rPr>
          <w:rFonts w:ascii="Times New Roman" w:eastAsia="Times New Roman" w:hAnsi="Times New Roman" w:cs="Times New Roman"/>
          <w:sz w:val="24"/>
          <w:szCs w:val="24"/>
          <w:lang w:eastAsia="pl-PL"/>
        </w:rPr>
        <w:lastRenderedPageBreak/>
        <w:t>sex life or sexual orientation, or data relating to criminal convictions or offences (hereinafter ‘sensitive data’), 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8.7   Onward transfers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not disclose the personal data to a third party located outside the European Union </w:t>
      </w:r>
      <w:hyperlink r:id="rId36" w:anchor="ntr3-L_2021199EN.01003701-E0003" w:history="1">
        <w:r w:rsidRPr="00512765">
          <w:rPr>
            <w:rFonts w:ascii="Times New Roman" w:eastAsia="Times New Roman" w:hAnsi="Times New Roman" w:cs="Times New Roman"/>
            <w:color w:val="0000FF"/>
            <w:sz w:val="24"/>
            <w:szCs w:val="24"/>
            <w:u w:val="single"/>
            <w:lang w:eastAsia="pl-PL"/>
          </w:rPr>
          <w:t>(3)</w:t>
        </w:r>
      </w:hyperlink>
      <w:r w:rsidRPr="00512765">
        <w:rPr>
          <w:rFonts w:ascii="Times New Roman" w:eastAsia="Times New Roman" w:hAnsi="Times New Roman" w:cs="Times New Roman"/>
          <w:sz w:val="24"/>
          <w:szCs w:val="24"/>
          <w:lang w:eastAsia="pl-PL"/>
        </w:rPr>
        <w:t xml:space="preserve"> (in the same country as the data importer or in another third country, hereinafter ‘onward transfer’) unless the third party is or agrees to be bound by these Clauses, under the appropriate Module. Otherwise, an onward transfer by the data importer may only take place if:</w:t>
      </w: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it is to a country benefitting from an adequacy decision pursuant to Article 45 of Regulation (EU) 2016/679 that covers the onward transfer;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third party otherwise ensures appropriate safeguards pursuant to Articles 46 or 47 of Regulation (EU) 2016/679 with respect to the processing in question;</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third party enters into a binding instrument with the data importer ensuring the same level of data protection as under these Clauses, and the data importer provides a copy of these safeguards to the data exporter;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(iv)</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it is necessary for the establishment, exercise or defence of legal claims in the context of specific administrative, regulatory or judicial proceedings;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(v)</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it is necessary in order to protect the vital interests of the data subject or of another natural person; or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(vi)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Any onward transfer is subject to compliance by the data importer with all the other safeguards under these Clauses, in particular purpose limitation.</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8.8   Processing under the authority of the data importer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ensure that any person acting under its authority, including a processor, processes the data only on its instructions.</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8.9   Documentation and compliance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Each Party shall be able to demonstrate compliance with its obligations under these Clauses. In particular, the data importer shall keep appropriate documentation of the processing activities carried out under its responsibility.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make such documentation available to the competent supervisory authority on request.</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TWO: Transfer controller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 xml:space="preserve">8.1   Instructions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process the personal data only on documented instructions from the data exporter. The data exporter may give such instructions throughout the duration of the contract.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immediately inform the data exporter if it is unable to follow those instructions.</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8.2   Purpose limitation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process the personal data only for the specific purpose(s) of the transfer, as set out in Annex I.B, unless on further instructions from the data exporter.</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8.3   Transparency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to these Clauses prior to sharing a copy, but shall provide a meaningful summary where the data subject would otherwise not be able to understand the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8.4   Accuracy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If the data importer becomes aware that the personal data it has received is inaccurate, or has become outdated, it shall inform the data exporter without undue delay. In this case, the data importer shall cooperate with the data exporter to erase or rectify the data.</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8.5   Duration of processing and erasure or return of data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Processing by the data importer shall only take place for the duration specified in Annex I.B.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in particular the requirement for the data importer under Clause 14(e) to notify the data exporter throughout the duration of the contract if it has reason to believe that it is or has become subject to laws or practices not in line with the requirements under Clause 14(a).</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8.6   Security of processing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and, during transmission, also the data exporter shall implement appropriate technical and organisational measures to ensure the security of the data, including protection against a breach of security leading to accidental or unlawful destruction, loss, alteration, unauthorised disclosure or access to that data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subjects. The Parties shall in particular consider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In complying with its obligations under this paragraph, the data importer shall at least implement the technical and organisational measures specified in Annex II. The data importer shall carry out regular checks to ensure that these measures continue to provide an appropriate level of security.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grant access to the personal data to members of its personnel only to the extent strictly necessary for the implementation, management and monitoring of the contract. It shall ensure that persons authorised to process the personal data have committed themselves to confidentiality or are under an appropriate statutory obligation of confidentiality.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cooperate with and assist the data exporter to enable the data exporter to comply with its obligations under Regulation (EU) 2016/679, in particular to notify the competent supervisory authority and the affected data subjects, taking into account the nature of processing and the information available to the data importer.</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8.7   Sensitive data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described in Annex I.B.</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8.8   Onward transfers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The data importer shall only disclose the personal data to a third party on documented instructions from the data exporter. In addition, the data may only be disclosed to a third party </w:t>
      </w:r>
      <w:r w:rsidRPr="00512765">
        <w:rPr>
          <w:rFonts w:ascii="Times New Roman" w:eastAsia="Times New Roman" w:hAnsi="Times New Roman" w:cs="Times New Roman"/>
          <w:sz w:val="24"/>
          <w:szCs w:val="24"/>
          <w:lang w:eastAsia="pl-PL"/>
        </w:rPr>
        <w:lastRenderedPageBreak/>
        <w:t>located outside the European Union </w:t>
      </w:r>
      <w:hyperlink r:id="rId37" w:anchor="ntr4-L_2021199EN.01003701-E0004" w:history="1">
        <w:r w:rsidRPr="00512765">
          <w:rPr>
            <w:rFonts w:ascii="Times New Roman" w:eastAsia="Times New Roman" w:hAnsi="Times New Roman" w:cs="Times New Roman"/>
            <w:color w:val="0000FF"/>
            <w:sz w:val="24"/>
            <w:szCs w:val="24"/>
            <w:u w:val="single"/>
            <w:lang w:eastAsia="pl-PL"/>
          </w:rPr>
          <w:t>(4)</w:t>
        </w:r>
      </w:hyperlink>
      <w:r w:rsidRPr="00512765">
        <w:rPr>
          <w:rFonts w:ascii="Times New Roman" w:eastAsia="Times New Roman" w:hAnsi="Times New Roman" w:cs="Times New Roman"/>
          <w:sz w:val="24"/>
          <w:szCs w:val="24"/>
          <w:lang w:eastAsia="pl-PL"/>
        </w:rPr>
        <w:t xml:space="preserve"> (in the same country as the data importer or in another third country, hereinafter ‘onward transfer’) if the third party is or agrees to be bound by these Clauses, under the appropriate Module, or if:</w:t>
      </w: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onward transfer is to a country benefitting from an adequacy decision pursuant to Article 45 of Regulation (EU) 2016/679 that covers the onward transfer;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third party otherwise ensures appropriate safeguards pursuant to Articles 46 or 47 Regulation of (EU) 2016/679 with respect to the processing in question;</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onward transfer is necessary for the establishment, exercise or defence of legal claims in the context of specific administrative, regulatory or judicial proceedings; or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(iv)</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onward transfer is necessary in order to protect the vital interests of the data subject or of another natural person.</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Any onward transfer is subject to compliance by the data importer with all the other safeguards under these Clauses, in particular purpose limitation.</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8.9   Documentation and compliance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promptly and adequately deal with enquiries from the data exporter that relate to the processing under these Clauses.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shall be able to demonstrate compliance with these Clauses. In particular, the data importer shall keep appropriate documentation on the processing activities carried out on behalf of the data exporter.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take into account relevant certifications held by the data importer.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exporter may choose to conduct the audit by itself or mandate an independent auditor. Audits may include inspections at the premises or physical facilities of the data importer and shall, where appropriate, be carried out with reasonable notice.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shall make the information referred to in paragraphs (b) and (c), including the results of any audits, available to the competent supervisory authority on request.</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8.1   Instructions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exporter has informed the data importer that it acts as processor under the instructions of its controller(s), which the data exporter shall make available to the data importer prior to processing.</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process the personal data only on documented instructions from the controller, as communicated to the data importer by the data exporter, and any additional documented instructions from the data exporter. Such additional instructions shall not conflict with the instructions from the controller. The controller or data exporter may give further documented instructions regarding the data processing throughout the duration of the contract.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immediately inform the data exporter if it is unable to follow those instructions. Where the data importer is unable to follow the instructions from the controller, the data exporter shall immediately notify the controller.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exporter warrants that it has imposed the same data protection obligations on the data importer as set out in the contract or other legal act under Union or Member State law between the controller and the data exporter </w:t>
            </w:r>
            <w:hyperlink r:id="rId38" w:anchor="ntr5-L_2021199EN.01003701-E0005" w:history="1">
              <w:r w:rsidRPr="00512765">
                <w:rPr>
                  <w:rFonts w:ascii="Times New Roman" w:eastAsia="Times New Roman" w:hAnsi="Times New Roman" w:cs="Times New Roman"/>
                  <w:color w:val="0000FF"/>
                  <w:sz w:val="24"/>
                  <w:szCs w:val="24"/>
                  <w:u w:val="single"/>
                  <w:lang w:eastAsia="pl-PL"/>
                </w:rPr>
                <w:t>(5)</w:t>
              </w:r>
            </w:hyperlink>
            <w:r w:rsidRPr="00512765">
              <w:rPr>
                <w:rFonts w:ascii="Times New Roman" w:eastAsia="Times New Roman" w:hAnsi="Times New Roman" w:cs="Times New Roman"/>
                <w:sz w:val="24"/>
                <w:szCs w:val="24"/>
                <w:lang w:eastAsia="pl-PL"/>
              </w:rPr>
              <w:t>.</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8.2   Purpose limitation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process the personal data only for the specific purpose(s) of the transfer, as set out in Annex I.B., unless on further instructions from the controller, as communicated to the data importer by the data exporter, or from the data exporter.</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8.3   Transparency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On request, the data exporter shall make a copy of these Clauses, including the Appendix as completed by the Parties, available to the data subject free of charge. To the extent necessary to protect business secrets or other confidential information, including personal data, the data exporter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8.4   Accuracy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If the data importer becomes aware that the personal data it has received is inaccurate, or has become outdated, it shall inform the data exporter without undue delay. In this case, the data importer shall cooperate with the data exporter to rectify or erase the data.</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8.5   Duration of processing and erasure or return of data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Processing by the data importer shall only take place for the duration specified in Annex I.B. After the end of the provision of the processing services, the data importer shall, at the choice of the data exporter, delete all personal data processed on behalf of the controller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in particular the requirement for the data importer under Clause 14(e) to notify the data exporter throughout the duration of the contract if it has reason to believe that it is or has become subject to laws or practices not in line with the requirements under Clause 14(a).</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8.6   Security of processing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The data importer and, during transmission, also the data exporter shall implement appropriate technical and organisational measures to ensure the security of the data, </w:t>
            </w:r>
            <w:r w:rsidRPr="00512765">
              <w:rPr>
                <w:rFonts w:ascii="Times New Roman" w:eastAsia="Times New Roman" w:hAnsi="Times New Roman" w:cs="Times New Roman"/>
                <w:sz w:val="24"/>
                <w:szCs w:val="24"/>
                <w:lang w:eastAsia="pl-PL"/>
              </w:rPr>
              <w:lastRenderedPageBreak/>
              <w:t>including protection against a breach of security leading to accidental or unlawful destruction, loss, alteration, unauthorised disclosure or access to that data (hereinafter ‘personal data breach’). In assessing the appropriate level of security, they shall take due account of the state of the art, the costs of implementation, the nature, scope, context and purpose(s) of processing and the risks involved in the processing for the data subject. The Parties shall in particular consider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or the controller. In complying with its obligations under this paragraph, the data importer shall at least implement the technical and organisational measures specified in Annex II. The data importer shall carry out regular checks to ensure that these measures continue to provide an appropriate level of security.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grant access to the data to members of its personnel only to the extent strictly necessary for the implementation, management and monitoring of the contract. It shall ensure that persons authorised to process the personal data have committed themselves to confidentiality or are under an appropriate statutory obligation of confidentiality.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the event of a personal data breach concerning personal data processed by the data importer under these Clauses, the data importer shall take appropriate measures to address the breach, including measures to mitigate its adverse effects. The data importer shall also notify, without undue delay, the data exporter and, where appropriate and feasible, the controller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data breach, including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cooperate with and assist the data exporter to enable the data exporter to comply with its obligations under Regulation (EU) 2016/679, in particular to notify its controller so that the latter may in turn notify the competent supervisory authority and the affected data subjects, taking into account the nature of processing and the information available to the data importer.</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8.7   Sensitive data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set out in Annex I.B.</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8.8   Onward transfers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The data importer shall only disclose the personal data to a third party on documented instructions from the controller, as communicated to the data importer by the data exporter. In addition, the data may only be disclosed to a third party located outside the European </w:t>
      </w:r>
      <w:r w:rsidRPr="00512765">
        <w:rPr>
          <w:rFonts w:ascii="Times New Roman" w:eastAsia="Times New Roman" w:hAnsi="Times New Roman" w:cs="Times New Roman"/>
          <w:sz w:val="24"/>
          <w:szCs w:val="24"/>
          <w:lang w:eastAsia="pl-PL"/>
        </w:rPr>
        <w:lastRenderedPageBreak/>
        <w:t>Union </w:t>
      </w:r>
      <w:hyperlink r:id="rId39" w:anchor="ntr6-L_2021199EN.01003701-E0006" w:history="1">
        <w:r w:rsidRPr="00512765">
          <w:rPr>
            <w:rFonts w:ascii="Times New Roman" w:eastAsia="Times New Roman" w:hAnsi="Times New Roman" w:cs="Times New Roman"/>
            <w:color w:val="0000FF"/>
            <w:sz w:val="24"/>
            <w:szCs w:val="24"/>
            <w:u w:val="single"/>
            <w:lang w:eastAsia="pl-PL"/>
          </w:rPr>
          <w:t>(6)</w:t>
        </w:r>
      </w:hyperlink>
      <w:r w:rsidRPr="00512765">
        <w:rPr>
          <w:rFonts w:ascii="Times New Roman" w:eastAsia="Times New Roman" w:hAnsi="Times New Roman" w:cs="Times New Roman"/>
          <w:sz w:val="24"/>
          <w:szCs w:val="24"/>
          <w:lang w:eastAsia="pl-PL"/>
        </w:rPr>
        <w:t xml:space="preserve"> (in the same country as the data importer or in another third country, hereinafter ‘onward transfer’) if the third party is or agrees to be bound by these Clauses, under the appropriate Module, or if:</w:t>
      </w: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onward transfer is to a country benefitting from an adequacy decision pursuant to Article 45 of Regulation (EU) 2016/679 that covers the onward transfer;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778"/>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third party otherwise ensures appropriate safeguards pursuant to Articles 46 or 47 of Regulation (EU) 2016/679;</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onward transfer is necessary for the establishment, exercise or defence of legal claims in the context of specific administrative, regulatory or judicial proceedings; or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47"/>
        <w:gridCol w:w="872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(iv)</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onward transfer is necessary in order to protect the vital interests of the data subject or of another natural person.</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Any onward transfer is subject to compliance by the data importer with all the other safeguards under these Clauses, in particular purpose limitation.</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8.9   Documentation and compliance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promptly and adequately deal with enquiries from the data exporter or the controller that relate to the processing under these Clauses.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shall be able to demonstrate compliance with these Clauses. In particular, the data importer shall keep appropriate documentation on the processing activities carried out on behalf of the controller.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make all information necessary to demonstrate compliance with the obligations set out in these Clauses available to the data exporter, which shall provide it to the controller.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allow for and contribute to audits by the data exporter of the processing activities covered by these Clauses, at reasonable intervals or if there are indications of non-compliance. The same shall apply where the data exporter requests an audit on instructions of the controller. In deciding on an audit, the data exporter may take into account relevant certifications held by the data importer.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the audit is carried out on the instructions of the controller, the data exporter shall make the results available to the controller.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(f)</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exporter may choose to conduct the audit by itself or mandate an independent auditor. Audits may include inspections at the premises or physical facilities of the data importer and shall, where appropriate, be carried out with reasonable notice.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(g)</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shall make the information referred to in paragraphs (b) and (c), including the results of any audits, available to the competent supervisory authority on request.</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FOUR: Transfer processor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8.1   Instructions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exporter shall process the personal data only on documented instructions from the data importer acting as its controller.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exporter shall immediately inform the data importer if it is unable to follow those instructions, including if such instructions infringe Regulation (EU) 2016/679 or other Union or Member State data protection law.</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refrain from any action that would prevent the data exporter from fulfilling its obligations under Regulation (EU) 2016/679, including in the context of sub-processing or as regards cooperation with competent supervisory authorities.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After the end of the provision of the processing services, the data exporter shall, at the choice of the data importer, delete all personal data processed on behalf of the data importer and certify to the data importer that it has done so, or return to the data importer all personal data processed on its behalf and delete existing copies.</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8.2   Security of processing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shall implement appropriate technical and organisational measures to ensure the security of the data, including during transmission, and protection against a breach of security leading to accidental or unlawful destruction, loss, alteration, unauthorised disclosure or access (hereinafter ‘personal data breach’). In assessing the appropriate level of security, they shall take due account of the state of the art, the costs of implementation, the nature of the personal data </w:t>
            </w:r>
            <w:hyperlink r:id="rId40" w:anchor="ntr7-L_2021199EN.01003701-E0007" w:history="1">
              <w:r w:rsidRPr="00512765">
                <w:rPr>
                  <w:rFonts w:ascii="Times New Roman" w:eastAsia="Times New Roman" w:hAnsi="Times New Roman" w:cs="Times New Roman"/>
                  <w:color w:val="0000FF"/>
                  <w:sz w:val="24"/>
                  <w:szCs w:val="24"/>
                  <w:u w:val="single"/>
                  <w:lang w:eastAsia="pl-PL"/>
                </w:rPr>
                <w:t>(7)</w:t>
              </w:r>
            </w:hyperlink>
            <w:r w:rsidRPr="00512765">
              <w:rPr>
                <w:rFonts w:ascii="Times New Roman" w:eastAsia="Times New Roman" w:hAnsi="Times New Roman" w:cs="Times New Roman"/>
                <w:sz w:val="24"/>
                <w:szCs w:val="24"/>
                <w:lang w:eastAsia="pl-PL"/>
              </w:rPr>
              <w:t>, the nature, scope, context and purpose(s) of processing and the risks involved in the processing for the data subjects, and in particular consider having recourse to encryption or pseudonymisation, including during transmission, where the purpose of processing can be fulfilled in that manner.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exporter shall assist the data importer in ensuring appropriate security of the data in accordance with paragraph (a). In case of a personal data breach concerning the personal data processed by the data exporter under these Clauses, the data exporter shall notify the data importer without undue delay after becoming aware of it and assist the data importer in addressing the breach.</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exporter shall ensure that persons authorised to process the personal data have committed themselves to confidentiality or are under an appropriate statutory obligation of confidentiality.</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8.3   Documentation and compliance </w:t>
      </w:r>
    </w:p>
    <w:tbl>
      <w:tblPr>
        <w:tblW w:w="5000" w:type="pct"/>
        <w:tblCellSpacing w:w="0" w:type="dxa"/>
        <w:tblCellMar>
          <w:left w:w="0" w:type="dxa"/>
          <w:right w:w="0" w:type="dxa"/>
        </w:tblCellMar>
        <w:tblLook w:val="04A0" w:firstRow="1" w:lastRow="0" w:firstColumn="1" w:lastColumn="0" w:noHBand="0" w:noVBand="1"/>
      </w:tblPr>
      <w:tblGrid>
        <w:gridCol w:w="338"/>
        <w:gridCol w:w="8734"/>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shall be able to demonstrate compliance with these Clauses.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exporter shall make available to the data importer all information necessary to demonstrate compliance with its obligations under these Clauses and allow for and contribute to audits.</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9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Use of sub-processors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TWO: Transfer controller to processor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OPTION 1: SPECIFIC PRIOR AUTHORISATION The data importer shall not sub-contract any of its processing activities performed on behalf of the data exporter under these Clauses to a sub-processor without the data exporter’s prior specific written authorisation. The data importer shall submit the request for specific authorisation at least [Specify time period] prior to the engagement of the sub-processor, together with the information necessary to enable the data exporter to decide on the authorisation. The list of sub-processors already authorised by the data exporter can be found in Annex III. The Parties shall keep Annex III up to date.</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OPTION 2: GENERAL WRITTEN AUTHORISATION The data importer has the data exporter’s general authorisation for the engagement of sub-processor(s) from an agreed list. The data importer shall specifically inform the data exporter in writing of any intended changes to that list through the addition or replacement of sub-processors at least [Specify time period] in advance, thereby giving the data exporter sufficient time to be able to object to such changes prior to the engagement of the sub-processor(s). The data importer shall provide the data exporter with the information necessary to enable the data exporter to exercise its right to object.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 </w:t>
            </w:r>
            <w:hyperlink r:id="rId41" w:anchor="ntr8-L_2021199EN.01003701-E0008" w:history="1">
              <w:r w:rsidRPr="00512765">
                <w:rPr>
                  <w:rFonts w:ascii="Times New Roman" w:eastAsia="Times New Roman" w:hAnsi="Times New Roman" w:cs="Times New Roman"/>
                  <w:color w:val="0000FF"/>
                  <w:sz w:val="24"/>
                  <w:szCs w:val="24"/>
                  <w:u w:val="single"/>
                  <w:lang w:eastAsia="pl-PL"/>
                </w:rPr>
                <w:t>(8)</w:t>
              </w:r>
            </w:hyperlink>
            <w:r w:rsidRPr="00512765">
              <w:rPr>
                <w:rFonts w:ascii="Times New Roman" w:eastAsia="Times New Roman" w:hAnsi="Times New Roman" w:cs="Times New Roman"/>
                <w:sz w:val="24"/>
                <w:szCs w:val="24"/>
                <w:lang w:eastAsia="pl-PL"/>
              </w:rPr>
              <w:t xml:space="preserve"> The Parties agree that, by complying with this Clause, the data importer fulfils its obligations under Clause 8.8. The data importer shall ensure that the sub-processor complies with the obligations to which the data importer is subject pursuant to these Clauses.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OPTION 1: SPECIFIC PRIOR AUTHORISATION The data importer shall not sub-contract any of its processing activities performed on behalf of the data exporter under these Clauses to a sub-processor without the prior specific written authorisation of the controller. The data importer shall submit the request for specific authorisation at least [Specify time period] prior to the engagement of the sub-processor, together with the information necessary to enable the controller to decide on the authorisation. It shall inform the data exporter of such engagement. The list of sub-processors already authorised by the controller can be found in Annex III. The Parties shall keep Annex III up to date.</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OPTION 2: GENERAL WRITTEN AUTHORISATION The data importer has the controller’s general authorisation for the engagement of sub-processor(s) from an agreed list. The data importer shall specifically inform the controller in writing of any intended changes to that list through the addition or replacement of sub-processors at least [Specify time period] in advance, thereby giving the controller sufficient time to be able to object to such changes prior to the engagement of the sub-processor(s). The data importer shall provide the controller with the information necessary to enable the controller to exercise its right to object. The data importer shall inform the data exporter of the engagement of the sub-processor(s).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the data importer engages a sub-processor to carry out specific processing activities (on behalf of the controller), it shall do so by way of a written contract that provides for, in substance, the same data protection obligations as those binding the data importer under these Clauses, including in terms of third-party beneficiary rights for data subjects. </w:t>
            </w:r>
            <w:hyperlink r:id="rId42" w:anchor="ntr9-L_2021199EN.01003701-E0009" w:history="1">
              <w:r w:rsidRPr="00512765">
                <w:rPr>
                  <w:rFonts w:ascii="Times New Roman" w:eastAsia="Times New Roman" w:hAnsi="Times New Roman" w:cs="Times New Roman"/>
                  <w:color w:val="0000FF"/>
                  <w:sz w:val="24"/>
                  <w:szCs w:val="24"/>
                  <w:u w:val="single"/>
                  <w:lang w:eastAsia="pl-PL"/>
                </w:rPr>
                <w:t>(9)</w:t>
              </w:r>
            </w:hyperlink>
            <w:r w:rsidRPr="00512765">
              <w:rPr>
                <w:rFonts w:ascii="Times New Roman" w:eastAsia="Times New Roman" w:hAnsi="Times New Roman" w:cs="Times New Roman"/>
                <w:sz w:val="24"/>
                <w:szCs w:val="24"/>
                <w:lang w:eastAsia="pl-PL"/>
              </w:rPr>
              <w:t xml:space="preserve"> The Parties agree that, by complying with this Clause, the data importer fulfils its obligations under Clause 8.8. The data importer shall ensure that the sub-processor complies with the obligations to which the data importer is subject pursuant to these Clauses.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provide, at the data exporter’s or controller’s request, a copy of such a sub-processor agreement and any subsequent amendments. To the extent necessary to protect business secrets or other confidential information, including personal data, the data importer may redact the text of the agreement prior to sharing a copy.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10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Data subject rights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ONE: Transfer controller to controller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where relevant with the assistance of the data exporter, shall deal with any enquiries and requests it receives from a data subject relating to the processing of his/her personal data and the exercise of his/her rights under these Clauses without undue delay and at the latest within one month of the receipt of the enquiry or request. </w:t>
            </w:r>
            <w:hyperlink r:id="rId43" w:anchor="ntr10-L_2021199EN.01003701-E0010" w:history="1">
              <w:r w:rsidRPr="00512765">
                <w:rPr>
                  <w:rFonts w:ascii="Times New Roman" w:eastAsia="Times New Roman" w:hAnsi="Times New Roman" w:cs="Times New Roman"/>
                  <w:color w:val="0000FF"/>
                  <w:sz w:val="24"/>
                  <w:szCs w:val="24"/>
                  <w:u w:val="single"/>
                  <w:lang w:eastAsia="pl-PL"/>
                </w:rPr>
                <w:t>(10)</w:t>
              </w:r>
            </w:hyperlink>
            <w:r w:rsidRPr="00512765">
              <w:rPr>
                <w:rFonts w:ascii="Times New Roman" w:eastAsia="Times New Roman" w:hAnsi="Times New Roman" w:cs="Times New Roman"/>
                <w:sz w:val="24"/>
                <w:szCs w:val="24"/>
                <w:lang w:eastAsia="pl-PL"/>
              </w:rPr>
              <w:t xml:space="preserve"> The data importer shall take appropriate measures to facilitate such enquiries, requests and the exercise of data subject rights. Any information provided to the data subject shall be in an intelligible and easily accessible form, using clear and plain language.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particular, upon request by the data subject the data importer shall, free of charge:</w:t>
            </w:r>
          </w:p>
          <w:tbl>
            <w:tblPr>
              <w:tblW w:w="5000" w:type="pct"/>
              <w:tblCellSpacing w:w="0" w:type="dxa"/>
              <w:tblCellMar>
                <w:left w:w="0" w:type="dxa"/>
                <w:right w:w="0" w:type="dxa"/>
              </w:tblCellMar>
              <w:tblLook w:val="04A0" w:firstRow="1" w:lastRow="0" w:firstColumn="1" w:lastColumn="0" w:noHBand="0" w:noVBand="1"/>
            </w:tblPr>
            <w:tblGrid>
              <w:gridCol w:w="227"/>
              <w:gridCol w:w="8565"/>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provide confirmation to the data subject as to whether personal data concerning him/her is being processed and, where this is the case, a copy of the data relating to him/her and the information in Annex I; if personal data has been or will be onward transferred, provide information on recipients or categories of recipients (as appropriate with a view to providing meaningful information) to which the personal data has been or will be onward transferred, the purpose of such onward transfers and their ground pursuant to Clause 8.7; and provide information on the right to lodge a complaint with a supervisory authority in accordance with Clause 12(c)(i);</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94"/>
              <w:gridCol w:w="8398"/>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rectify inaccurate or incomplete data concerning the data subject;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432"/>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erase personal data concerning the data subject if such data is being or has been processed in violation of any of these Clauses ensuring third-party beneficiary rights, or if the data subject withdraws the consent on which the processing is based.</w:t>
                  </w:r>
                </w:p>
              </w:tc>
            </w:tr>
          </w:tbl>
          <w:p w:rsidR="00512765" w:rsidRPr="00512765" w:rsidRDefault="00512765" w:rsidP="00512765">
            <w:pPr>
              <w:spacing w:after="0" w:line="240" w:lineRule="auto"/>
              <w:rPr>
                <w:rFonts w:ascii="Times New Roman" w:eastAsia="Times New Roman" w:hAnsi="Times New Roman" w:cs="Times New Roman"/>
                <w:sz w:val="24"/>
                <w:szCs w:val="24"/>
                <w:lang w:eastAsia="pl-PL"/>
              </w:rPr>
            </w:pP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the data importer processes the personal data for direct marketing purposes, it shall cease processing for such purposes if the data subject objects to it.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not make a decision based solely on the automated processing of the personal data transferred (hereinafter ‘automated decision’), which would produce legal effects concerning the data subject or similarly significantly affect him/her, unless with the explicit consent of the data subject or if authorised to do so under the laws of the country of destination, provided that such laws lays down suitable measures to safeguard the data subject’s rights and legitimate interests. In this case, the data importer shall, where necessary in cooperation with the data exporter:</w:t>
            </w:r>
          </w:p>
          <w:tbl>
            <w:tblPr>
              <w:tblW w:w="5000" w:type="pct"/>
              <w:tblCellSpacing w:w="0" w:type="dxa"/>
              <w:tblCellMar>
                <w:left w:w="0" w:type="dxa"/>
                <w:right w:w="0" w:type="dxa"/>
              </w:tblCellMar>
              <w:tblLook w:val="04A0" w:firstRow="1" w:lastRow="0" w:firstColumn="1" w:lastColumn="0" w:noHBand="0" w:noVBand="1"/>
            </w:tblPr>
            <w:tblGrid>
              <w:gridCol w:w="227"/>
              <w:gridCol w:w="8565"/>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inform the data subject about the envisaged automated decision, the envisaged consequences and the logic involved; and</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498"/>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implement suitable safeguards, at least by enabling the data subject to contest the decision, express his/her point of view and obtain review by a human being.</w:t>
                  </w:r>
                </w:p>
              </w:tc>
            </w:tr>
          </w:tbl>
          <w:p w:rsidR="00512765" w:rsidRPr="00512765" w:rsidRDefault="00512765" w:rsidP="00512765">
            <w:pPr>
              <w:spacing w:after="0" w:line="240" w:lineRule="auto"/>
              <w:rPr>
                <w:rFonts w:ascii="Times New Roman" w:eastAsia="Times New Roman" w:hAnsi="Times New Roman" w:cs="Times New Roman"/>
                <w:sz w:val="24"/>
                <w:szCs w:val="24"/>
                <w:lang w:eastAsia="pl-PL"/>
              </w:rPr>
            </w:pP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requests from a data subject are excessive, in particular because of their repetitive character, the data importer may either charge a reasonable fee taking into account the administrative costs of granting the request or refuse to act on the request.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(f)</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(g)</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If the data importer intends to refuse a data subject’s request, it shall inform the data subject of the reasons for the refusal and the possibility of lodging a complaint with the competent supervisory authority and/or seeking judicial redress.</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TWO: Transfer controller to processor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promptly notify the data exporter of any request it has received from a data subject. It shall not respond to that request itself unless it has been authorised to do so by the data exporter.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assist the data exporter in fulfilling its obligations to respond to data subjects’ requests for the exercise of their rights under Regulation (EU) 2016/679. In this regard, the Parties shall set out in Annex II the appropriate technical and organisational measures, taking into account the nature of the processing, by which the assistance shall be provided, as well as the scope and the extent of the assistance required.</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fulfilling its obligations under paragraphs (a) and (b), the data importer shall comply with the instructions from the data exporter.</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promptly notify the data exporter and, where appropriate, the controller of any request it has received from a data subject, without responding to that request unless it has been authorised to do so by the controller.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assist, where appropriate in cooperation with the data exporter, the controller in fulfilling its obligations to respond to data subjects’ requests for the exercise of their rights under Regulation (EU) 2016/679 or Regulation (EU) 2018/1725, as applicable. In this regard, the Parties shall set out in Annex II the appropriate technical and organisational measures, taking into account the nature of the processing, by which the assistance shall be provided, as well as the scope and the extent of the assistance required.</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fulfilling its obligations under paragraphs (a) and (b), the data importer shall comply with the instructions from the controller, as communicated by the data exporter.</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FOUR: Transfer processor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The Parties shall assist each other in responding to enquiries and requests made by data subjects under the local law applicable to the data importer or, for data processing by the data exporter in the EU, under Regulation (EU) 2016/679.</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11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Redress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inform data subjects in a transparent and easily accessible format, through individual notice or on its website, of a contact point authorised to handle complaints. It shall deal promptly with any complaints it receives from a data subject.</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[OPTION: The data importer agrees that data subjects may also lodge a complaint with an independent dispute resolution body </w:t>
            </w:r>
            <w:hyperlink r:id="rId44" w:anchor="ntr11-L_2021199EN.01003701-E0011" w:history="1">
              <w:r w:rsidRPr="00512765">
                <w:rPr>
                  <w:rFonts w:ascii="Times New Roman" w:eastAsia="Times New Roman" w:hAnsi="Times New Roman" w:cs="Times New Roman"/>
                  <w:color w:val="0000FF"/>
                  <w:sz w:val="24"/>
                  <w:szCs w:val="24"/>
                  <w:u w:val="single"/>
                  <w:lang w:eastAsia="pl-PL"/>
                </w:rPr>
                <w:t>(11)</w:t>
              </w:r>
            </w:hyperlink>
            <w:r w:rsidRPr="00512765">
              <w:rPr>
                <w:rFonts w:ascii="Times New Roman" w:eastAsia="Times New Roman" w:hAnsi="Times New Roman" w:cs="Times New Roman"/>
                <w:sz w:val="24"/>
                <w:szCs w:val="24"/>
                <w:lang w:eastAsia="pl-PL"/>
              </w:rPr>
              <w:t xml:space="preserve"> at no cost to the data subject. It shall inform the data subjects, in the manner set out in paragraph (a), of such redress mechanism and that they are not required to use it, or follow a particular sequence in seeking redress.]</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ONE: Transfer controller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TWO: Transfer controller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the data subject invokes a third-party beneficiary right pursuant to Clause 3, the data importer shall accept the decision of the data subject to:</w:t>
            </w:r>
          </w:p>
          <w:tbl>
            <w:tblPr>
              <w:tblW w:w="5000" w:type="pct"/>
              <w:tblCellSpacing w:w="0" w:type="dxa"/>
              <w:tblCellMar>
                <w:left w:w="0" w:type="dxa"/>
                <w:right w:w="0" w:type="dxa"/>
              </w:tblCellMar>
              <w:tblLook w:val="04A0" w:firstRow="1" w:lastRow="0" w:firstColumn="1" w:lastColumn="0" w:noHBand="0" w:noVBand="1"/>
            </w:tblPr>
            <w:tblGrid>
              <w:gridCol w:w="227"/>
              <w:gridCol w:w="8578"/>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lodge a complaint with the supervisory authority in the Member State of his/her habitual residence or place of work, or the competent supervisory authority pursuant to Clause 13;</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50"/>
              <w:gridCol w:w="8455"/>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refer the dispute to the competent courts within the meaning of Clause 18.</w:t>
                  </w:r>
                </w:p>
              </w:tc>
            </w:tr>
          </w:tbl>
          <w:p w:rsidR="00512765" w:rsidRPr="00512765" w:rsidRDefault="00512765" w:rsidP="00512765">
            <w:pPr>
              <w:spacing w:after="0" w:line="240" w:lineRule="auto"/>
              <w:rPr>
                <w:rFonts w:ascii="Times New Roman" w:eastAsia="Times New Roman" w:hAnsi="Times New Roman" w:cs="Times New Roman"/>
                <w:sz w:val="24"/>
                <w:szCs w:val="24"/>
                <w:lang w:eastAsia="pl-PL"/>
              </w:rPr>
            </w:pP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accept that the data subject may be represented by a not-for-profit body, organisation or association under the conditions set out in Article 80(1) of Regulation (EU) 2016/679.</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abide by a decision that is binding under the applicable EU or Member State law.</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(f)</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agrees that the choice made by the data subject will not prejudice his/her substantive and procedural rights to seek remedies in accordance with applicable laws.</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12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Liability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ONE: Transfer controller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FOUR: Transfer processor to controller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Each Party shall be liable to the other Party/ies for any damages it causes the other Party/ies by any breach of these Clauses.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agree that if one Party is held liable under paragraph (c), it shall be entitled to claim back from the other Party/ies that part of the compensation corresponding to its/their responsibility for the damage.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may not invoke the conduct of a processor or sub-processor to avoid its own liability.</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TWO: Transfer controller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Each Party shall be liable to the other Party/ies for any damages it causes the other Party/ies by any breach of these Clauses.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agree that if the data exporter is held liable under paragraph (c) for damages caused by the data importer (or its sub-processor), it shall be entitled to claim back from the data importer that part of the compensation corresponding to the data importer’s responsibility for the damage.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(f)</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agree that if one Party is held liable under paragraph (e), it shall be entitled to claim back from the other Party/ies that part of the compensation corresponding to its/their responsibility for the damage.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2"/>
        <w:gridCol w:w="8790"/>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(g)</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may not invoke the conduct of a sub-processor to avoid its own liability.</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13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Supervision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ONE: Transfer controller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 xml:space="preserve">MODULE TWO: Transfer controller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the data exporter is established in an EU Member State:] The supervisory authority with responsibility for ensuring compliance by the data exporter with Regulation (EU) 2016/679 as regards the data transfer, as indicated in Annex I.C, shall act as competent supervisory authority.</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the data exporter is not established in an EU Member State, but falls within the territorial scope of application of Regulation (EU) 2016/679 in accordance with its Article 3(2) and has appointed a representative pursuant to Article 27(1) of Regulation (EU) 2016/679:] The supervisory authority of the Member State in which the representative within the meaning of Article 27(1) of Regulation (EU) 2016/679 is established, as indicated in Annex I.C, shall act as competent supervisory authority.</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the data exporter is not established in an EU Member State, but falls within the territorial scope of application of Regulation (EU) 2016/679 in accordance with its Article 3(2) without however having to appoint a representative pursuant to Article 27(2) of Regulation (EU) 2016/679:] The supervisory authority of one of the Member States in which the data subjects whose personal data is transferred under these Clauses in relation to the offering of goods or services to them, or whose behaviour is monitored, are located, as indicated in Annex I.C, shall act as competent supervisory authority.</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SECTION III – LOCAL LAWS AND OBLIGATIONS IN CASE OF ACCESS BY PUBLIC AUTHORITIES</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14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Local laws and practices affecting compliance with the Clauses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ONE: Transfer controller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TWO: Transfer controller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FOUR: Transfer processor to controller (where the EU processor combines the personal data received from the third country-controller with personal data collected by the processor in the EU)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The Parties warrant that they have no reason to believe that the laws and practices in the third country of destination applicable to the processing of the personal data by the data importer, including any requirements to disclose personal data or measures authorising </w:t>
            </w:r>
            <w:r w:rsidRPr="00512765">
              <w:rPr>
                <w:rFonts w:ascii="Times New Roman" w:eastAsia="Times New Roman" w:hAnsi="Times New Roman" w:cs="Times New Roman"/>
                <w:sz w:val="24"/>
                <w:szCs w:val="24"/>
                <w:lang w:eastAsia="pl-PL"/>
              </w:rPr>
              <w:lastRenderedPageBreak/>
              <w:t>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declare that in providing the warranty in paragraph (a), they have taken due account in particular of the following elements:</w:t>
            </w:r>
          </w:p>
          <w:tbl>
            <w:tblPr>
              <w:tblW w:w="5000" w:type="pct"/>
              <w:tblCellSpacing w:w="0" w:type="dxa"/>
              <w:tblCellMar>
                <w:left w:w="0" w:type="dxa"/>
                <w:right w:w="0" w:type="dxa"/>
              </w:tblCellMar>
              <w:tblLook w:val="04A0" w:firstRow="1" w:lastRow="0" w:firstColumn="1" w:lastColumn="0" w:noHBand="0" w:noVBand="1"/>
            </w:tblPr>
            <w:tblGrid>
              <w:gridCol w:w="227"/>
              <w:gridCol w:w="8565"/>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498"/>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laws and practices of the third country of destination– including those requiring the disclosure of data to public authorities or authorising access by such authorities – relevant in light of the specific circumstances of the transfer, and the applicable limitations and safeguards </w:t>
                  </w:r>
                  <w:hyperlink r:id="rId45" w:anchor="ntr12-L_2021199EN.01003701-E0012" w:history="1">
                    <w:r w:rsidRPr="00512765">
                      <w:rPr>
                        <w:rFonts w:ascii="Times New Roman" w:eastAsia="Times New Roman" w:hAnsi="Times New Roman" w:cs="Times New Roman"/>
                        <w:color w:val="0000FF"/>
                        <w:sz w:val="24"/>
                        <w:szCs w:val="24"/>
                        <w:u w:val="single"/>
                        <w:lang w:eastAsia="pl-PL"/>
                      </w:rPr>
                      <w:t>(12)</w:t>
                    </w:r>
                  </w:hyperlink>
                  <w:r w:rsidRPr="00512765">
                    <w:rPr>
                      <w:rFonts w:ascii="Times New Roman" w:eastAsia="Times New Roman" w:hAnsi="Times New Roman" w:cs="Times New Roman"/>
                      <w:sz w:val="24"/>
                      <w:szCs w:val="24"/>
                      <w:lang w:eastAsia="pl-PL"/>
                    </w:rPr>
                    <w: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432"/>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any relevant contractual, technical or organisational safeguards put in place to supplement the safeguards under these Clauses, including measures applied during transmission and to the processing of the personal data in the country of destination.</w:t>
                  </w:r>
                </w:p>
              </w:tc>
            </w:tr>
          </w:tbl>
          <w:p w:rsidR="00512765" w:rsidRPr="00512765" w:rsidRDefault="00512765" w:rsidP="00512765">
            <w:pPr>
              <w:spacing w:after="0" w:line="240" w:lineRule="auto"/>
              <w:rPr>
                <w:rFonts w:ascii="Times New Roman" w:eastAsia="Times New Roman" w:hAnsi="Times New Roman" w:cs="Times New Roman"/>
                <w:sz w:val="24"/>
                <w:szCs w:val="24"/>
                <w:lang w:eastAsia="pl-PL"/>
              </w:rPr>
            </w:pP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agree to document the assessment under paragraph (b) and make it available to the competent supervisory authority on request.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[For Module Three: The data exporter shall forward the notification to the controller.]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(f)</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[for Module Three:, if appropriate in consultation with the controller]. The data exporter shall suspend the data transfer if it considers that no appropriate safeguards for such transfer can be ensured, or if instructed by [for Module Three: the controller or]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15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Obligations of the data importer in case of access by public authorities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 xml:space="preserve">MODULE ONE: Transfer controller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TWO: Transfer controller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FOUR: Transfer processor to controller (where the EU processor combines the personal data received from the third country-controller with personal data collected by the processor in the EU)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15.1   Notification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agrees to notify the data exporter and, where possible, the data subject promptly (if necessary with the help of the data exporter) if it:</w:t>
            </w:r>
          </w:p>
          <w:tbl>
            <w:tblPr>
              <w:tblW w:w="5000" w:type="pct"/>
              <w:tblCellSpacing w:w="0" w:type="dxa"/>
              <w:tblCellMar>
                <w:left w:w="0" w:type="dxa"/>
                <w:right w:w="0" w:type="dxa"/>
              </w:tblCellMar>
              <w:tblLook w:val="04A0" w:firstRow="1" w:lastRow="0" w:firstColumn="1" w:lastColumn="0" w:noHBand="0" w:noVBand="1"/>
            </w:tblPr>
            <w:tblGrid>
              <w:gridCol w:w="227"/>
              <w:gridCol w:w="8578"/>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94"/>
              <w:gridCol w:w="8511"/>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becomes aware of any direct access by public authorities to personal data transferred pursuant to these Clauses in accordance with the laws of the country of destination; such notification shall include all information available to the importer.</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[For Module Three: The data exporter shall forward the notification to the controller.]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 [For Module Three: The data exporter shall forward the information to the controller.]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agrees to preserve the information pursuant to paragraphs (a) to (c) for the duration of the contract and make it available to the competent supervisory authority on request.</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Paragraphs (a) to (c) are without prejudice to the obligation of the data importer pursuant to Clause 14(e) and Clause 16 to inform the data exporter promptly where it is unable to comply with these Clauses.</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15.2   Review of legality and data minimisation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w:t>
            </w:r>
            <w:r w:rsidRPr="00512765">
              <w:rPr>
                <w:rFonts w:ascii="Times New Roman" w:eastAsia="Times New Roman" w:hAnsi="Times New Roman" w:cs="Times New Roman"/>
                <w:sz w:val="24"/>
                <w:szCs w:val="24"/>
                <w:lang w:eastAsia="pl-PL"/>
              </w:rPr>
              <w:lastRenderedPageBreak/>
              <w:t>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[For Module Three: The data exporter shall make the assessment available to the controller.]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agrees to provide the minimum amount of information permissible when responding to a request for disclosure, based on a reasonable interpretation of the request.</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SECTION IV – FINAL PROVISIONS</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16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Non-compliance with the Clauses and termination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shall promptly inform the data exporter if it is unable to comply with these Clauses, for whatever reason.</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exporter shall be entitled to terminate the contract, insofar as it concerns the processing of personal data under these Clauses, where:</w:t>
            </w:r>
          </w:p>
          <w:tbl>
            <w:tblPr>
              <w:tblW w:w="5000" w:type="pct"/>
              <w:tblCellSpacing w:w="0" w:type="dxa"/>
              <w:tblCellMar>
                <w:left w:w="0" w:type="dxa"/>
                <w:right w:w="0" w:type="dxa"/>
              </w:tblCellMar>
              <w:tblLook w:val="04A0" w:firstRow="1" w:lastRow="0" w:firstColumn="1" w:lastColumn="0" w:noHBand="0" w:noVBand="1"/>
            </w:tblPr>
            <w:tblGrid>
              <w:gridCol w:w="227"/>
              <w:gridCol w:w="8578"/>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exporter has suspended the transfer of personal data to the data importer pursuant to paragraph (b) and compliance with these Clauses is not restored within a reasonable time and in any event within one month of suspension;</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51"/>
              <w:gridCol w:w="8454"/>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is in substantial or persistent breach of these Clauses; or</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60"/>
              <w:gridCol w:w="8445"/>
            </w:tblGrid>
            <w:tr w:rsidR="00512765" w:rsidRP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(iii)</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data importer fails to comply with a binding decision of a competent court or supervisory authority regarding its obligations under these Clauses.</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In these cases, it shall inform the competent supervisory authority [for Module Three: and the controller] of such non-compliance. Where the contract involves more than two Parties, the data exporter may exercise this right to termination only with respect to the relevant Party, unless the Parties have agreed otherwise.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[For Modules One, Two and Three: Personal data that has been transferred prior to the termination of the contract pursuant to paragraph (c) shall at the choice of the data exporter immediately be returned to the data exporter or deleted in its entirety. The same shall apply to any copies of the data.] [For Module Four: Personal data collected by the data exporter in the EU that has been transferred prior to the termination of the contract pursuant to paragraph (c) shall immediately be deleted in its entirety, including any copy thereof.]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w:t>
            </w:r>
            <w:r w:rsidRPr="00512765">
              <w:rPr>
                <w:rFonts w:ascii="Times New Roman" w:eastAsia="Times New Roman" w:hAnsi="Times New Roman" w:cs="Times New Roman"/>
                <w:sz w:val="24"/>
                <w:szCs w:val="24"/>
                <w:lang w:eastAsia="pl-PL"/>
              </w:rPr>
              <w:lastRenderedPageBreak/>
              <w:t>ensure compliance with these Clauses and will only process the data to the extent and for as long as required under that local law.</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17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Governing law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ONE: Transfer controller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TWO: Transfer controller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[OPTION 1: These Clauses shall be governed by the law of one of the EU Member States, provided such law allows for third-party beneficiary rights. The Parties agree that this shall be the law of _______ (specify Member State).]</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[OPTION 2 (for Modules Two and Three): These Clauses shall be governed by the law of the EU Member State in which the data exporter is established. Where such law does not allow for third-party beneficiary rights, they shall be governed by the law of another EU Member State that does allow for third-party beneficiary rights. The Parties agree that this shall be the law of _______ (specify Member State).]</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FOUR: Transfer processor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These Clauses shall be governed by the law of a country allowing for third-party beneficiary rights. The Parties agree that this shall be the law of _______ (specify country).</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Clause 18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Choice of forum and jurisdiction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ONE: Transfer controller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TWO: Transfer controller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Any dispute arising from these Clauses shall be resolved by the courts of an EU Member State.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16"/>
        <w:gridCol w:w="8756"/>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(b)</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agree that those shall be the courts of _____ (specify Member State).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 data subject may also bring legal proceedings against the data exporter and/or data importer before the courts of the Member State in which he/she has his/her habitual residence.</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350"/>
        <w:gridCol w:w="872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(d)</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Parties agree to submit themselves to the jurisdiction of such courts.</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FOUR: Transfer processor to controller </w:t>
      </w:r>
    </w:p>
    <w:tbl>
      <w:tblPr>
        <w:tblW w:w="5000" w:type="pct"/>
        <w:tblCellSpacing w:w="0" w:type="dxa"/>
        <w:tblCellMar>
          <w:left w:w="0" w:type="dxa"/>
          <w:right w:w="0" w:type="dxa"/>
        </w:tblCellMar>
        <w:tblLook w:val="04A0" w:firstRow="1" w:lastRow="0" w:firstColumn="1" w:lastColumn="0" w:noHBand="0" w:noVBand="1"/>
      </w:tblPr>
      <w:tblGrid>
        <w:gridCol w:w="60"/>
        <w:gridCol w:w="9012"/>
      </w:tblGrid>
      <w:tr w:rsidR="00512765" w:rsidRPr="00512765" w:rsidTr="00512765">
        <w:trPr>
          <w:tblCellSpacing w:w="0" w:type="dxa"/>
        </w:trPr>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w:t>
            </w: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Any dispute arising from these Clauses shall be resolved by the courts of _____ (specify country).</w:t>
            </w:r>
          </w:p>
        </w:tc>
      </w:tr>
    </w:tbl>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pict>
          <v:rect id="_x0000_i1028" style="width:0;height:1.5pt" o:hralign="center" o:hrstd="t" o:hr="t" fillcolor="#a0a0a0" stroked="f"/>
        </w:pic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46" w:anchor="ntc1-L_2021199EN.01003701-E0001" w:history="1">
        <w:r w:rsidRPr="00512765">
          <w:rPr>
            <w:rFonts w:ascii="Times New Roman" w:eastAsia="Times New Roman" w:hAnsi="Times New Roman" w:cs="Times New Roman"/>
            <w:color w:val="0000FF"/>
            <w:sz w:val="24"/>
            <w:szCs w:val="24"/>
            <w:u w:val="single"/>
            <w:lang w:eastAsia="pl-PL"/>
          </w:rPr>
          <w:t>(1)</w:t>
        </w:r>
      </w:hyperlink>
      <w:r w:rsidRPr="00512765">
        <w:rPr>
          <w:rFonts w:ascii="Times New Roman" w:eastAsia="Times New Roman" w:hAnsi="Times New Roman" w:cs="Times New Roman"/>
          <w:sz w:val="24"/>
          <w:szCs w:val="24"/>
          <w:lang w:eastAsia="pl-PL"/>
        </w:rPr>
        <w:t>  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hyperlink r:id="rId47" w:history="1">
        <w:r w:rsidRPr="00512765">
          <w:rPr>
            <w:rFonts w:ascii="Times New Roman" w:eastAsia="Times New Roman" w:hAnsi="Times New Roman" w:cs="Times New Roman"/>
            <w:color w:val="0000FF"/>
            <w:sz w:val="24"/>
            <w:szCs w:val="24"/>
            <w:u w:val="single"/>
            <w:lang w:eastAsia="pl-PL"/>
          </w:rPr>
          <w:t>OJ L 295, 21.11.2018, p. 39</w:t>
        </w:r>
      </w:hyperlink>
      <w:r w:rsidRPr="00512765">
        <w:rPr>
          <w:rFonts w:ascii="Times New Roman" w:eastAsia="Times New Roman" w:hAnsi="Times New Roman" w:cs="Times New Roman"/>
          <w:sz w:val="24"/>
          <w:szCs w:val="24"/>
          <w:lang w:eastAsia="pl-PL"/>
        </w:rPr>
        <w:t>),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48" w:anchor="ntc2-L_2021199EN.01003701-E0002" w:history="1">
        <w:r w:rsidRPr="00512765">
          <w:rPr>
            <w:rFonts w:ascii="Times New Roman" w:eastAsia="Times New Roman" w:hAnsi="Times New Roman" w:cs="Times New Roman"/>
            <w:color w:val="0000FF"/>
            <w:sz w:val="24"/>
            <w:szCs w:val="24"/>
            <w:u w:val="single"/>
            <w:lang w:eastAsia="pl-PL"/>
          </w:rPr>
          <w:t>(2)</w:t>
        </w:r>
      </w:hyperlink>
      <w:r w:rsidRPr="00512765">
        <w:rPr>
          <w:rFonts w:ascii="Times New Roman" w:eastAsia="Times New Roman" w:hAnsi="Times New Roman" w:cs="Times New Roman"/>
          <w:sz w:val="24"/>
          <w:szCs w:val="24"/>
          <w:lang w:eastAsia="pl-PL"/>
        </w:rPr>
        <w:t>  This requires rendering the data anonymous in such a way that the individual is no longer identifiable by anyone, in line with recital 26 of Regulation (EU) 2016/679, and that this process is irreversible.</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49" w:anchor="ntc3-L_2021199EN.01003701-E0003" w:history="1">
        <w:r w:rsidRPr="00512765">
          <w:rPr>
            <w:rFonts w:ascii="Times New Roman" w:eastAsia="Times New Roman" w:hAnsi="Times New Roman" w:cs="Times New Roman"/>
            <w:color w:val="0000FF"/>
            <w:sz w:val="24"/>
            <w:szCs w:val="24"/>
            <w:u w:val="single"/>
            <w:lang w:eastAsia="pl-PL"/>
          </w:rPr>
          <w:t>(3)</w:t>
        </w:r>
      </w:hyperlink>
      <w:r w:rsidRPr="00512765">
        <w:rPr>
          <w:rFonts w:ascii="Times New Roman" w:eastAsia="Times New Roman" w:hAnsi="Times New Roman" w:cs="Times New Roman"/>
          <w:sz w:val="24"/>
          <w:szCs w:val="24"/>
          <w:lang w:eastAsia="pl-PL"/>
        </w:rPr>
        <w:t>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50" w:anchor="ntc4-L_2021199EN.01003701-E0004" w:history="1">
        <w:r w:rsidRPr="00512765">
          <w:rPr>
            <w:rFonts w:ascii="Times New Roman" w:eastAsia="Times New Roman" w:hAnsi="Times New Roman" w:cs="Times New Roman"/>
            <w:color w:val="0000FF"/>
            <w:sz w:val="24"/>
            <w:szCs w:val="24"/>
            <w:u w:val="single"/>
            <w:lang w:eastAsia="pl-PL"/>
          </w:rPr>
          <w:t>(4)</w:t>
        </w:r>
      </w:hyperlink>
      <w:r w:rsidRPr="00512765">
        <w:rPr>
          <w:rFonts w:ascii="Times New Roman" w:eastAsia="Times New Roman" w:hAnsi="Times New Roman" w:cs="Times New Roman"/>
          <w:sz w:val="24"/>
          <w:szCs w:val="24"/>
          <w:lang w:eastAsia="pl-PL"/>
        </w:rPr>
        <w:t>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51" w:anchor="ntc5-L_2021199EN.01003701-E0005" w:history="1">
        <w:r w:rsidRPr="00512765">
          <w:rPr>
            <w:rFonts w:ascii="Times New Roman" w:eastAsia="Times New Roman" w:hAnsi="Times New Roman" w:cs="Times New Roman"/>
            <w:color w:val="0000FF"/>
            <w:sz w:val="24"/>
            <w:szCs w:val="24"/>
            <w:u w:val="single"/>
            <w:lang w:eastAsia="pl-PL"/>
          </w:rPr>
          <w:t>(5)</w:t>
        </w:r>
      </w:hyperlink>
      <w:r w:rsidRPr="00512765">
        <w:rPr>
          <w:rFonts w:ascii="Times New Roman" w:eastAsia="Times New Roman" w:hAnsi="Times New Roman" w:cs="Times New Roman"/>
          <w:sz w:val="24"/>
          <w:szCs w:val="24"/>
          <w:lang w:eastAsia="pl-PL"/>
        </w:rPr>
        <w:t>  See Article 28(4) of Regulation (EU) 2016/679 and, where the controller is an EU institution or body, Article 29(4) of Regulation (EU) 2018/1725.</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52" w:anchor="ntc6-L_2021199EN.01003701-E0006" w:history="1">
        <w:r w:rsidRPr="00512765">
          <w:rPr>
            <w:rFonts w:ascii="Times New Roman" w:eastAsia="Times New Roman" w:hAnsi="Times New Roman" w:cs="Times New Roman"/>
            <w:color w:val="0000FF"/>
            <w:sz w:val="24"/>
            <w:szCs w:val="24"/>
            <w:u w:val="single"/>
            <w:lang w:eastAsia="pl-PL"/>
          </w:rPr>
          <w:t>(6)</w:t>
        </w:r>
      </w:hyperlink>
      <w:r w:rsidRPr="00512765">
        <w:rPr>
          <w:rFonts w:ascii="Times New Roman" w:eastAsia="Times New Roman" w:hAnsi="Times New Roman" w:cs="Times New Roman"/>
          <w:sz w:val="24"/>
          <w:szCs w:val="24"/>
          <w:lang w:eastAsia="pl-PL"/>
        </w:rPr>
        <w:t>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purposes of these Clauses.</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53" w:anchor="ntc7-L_2021199EN.01003701-E0007" w:history="1">
        <w:r w:rsidRPr="00512765">
          <w:rPr>
            <w:rFonts w:ascii="Times New Roman" w:eastAsia="Times New Roman" w:hAnsi="Times New Roman" w:cs="Times New Roman"/>
            <w:color w:val="0000FF"/>
            <w:sz w:val="24"/>
            <w:szCs w:val="24"/>
            <w:u w:val="single"/>
            <w:lang w:eastAsia="pl-PL"/>
          </w:rPr>
          <w:t>(7)</w:t>
        </w:r>
      </w:hyperlink>
      <w:r w:rsidRPr="00512765">
        <w:rPr>
          <w:rFonts w:ascii="Times New Roman" w:eastAsia="Times New Roman" w:hAnsi="Times New Roman" w:cs="Times New Roman"/>
          <w:sz w:val="24"/>
          <w:szCs w:val="24"/>
          <w:lang w:eastAsia="pl-PL"/>
        </w:rPr>
        <w:t>  This includes whether the transfer and further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54" w:anchor="ntc8-L_2021199EN.01003701-E0008" w:history="1">
        <w:r w:rsidRPr="00512765">
          <w:rPr>
            <w:rFonts w:ascii="Times New Roman" w:eastAsia="Times New Roman" w:hAnsi="Times New Roman" w:cs="Times New Roman"/>
            <w:color w:val="0000FF"/>
            <w:sz w:val="24"/>
            <w:szCs w:val="24"/>
            <w:u w:val="single"/>
            <w:lang w:eastAsia="pl-PL"/>
          </w:rPr>
          <w:t>(8)</w:t>
        </w:r>
      </w:hyperlink>
      <w:r w:rsidRPr="00512765">
        <w:rPr>
          <w:rFonts w:ascii="Times New Roman" w:eastAsia="Times New Roman" w:hAnsi="Times New Roman" w:cs="Times New Roman"/>
          <w:sz w:val="24"/>
          <w:szCs w:val="24"/>
          <w:lang w:eastAsia="pl-PL"/>
        </w:rPr>
        <w:t>  This requirement may be satisfied by the sub-processor acceding to these Clauses under the appropriate Module, in accordance with Clause 7.</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55" w:anchor="ntc9-L_2021199EN.01003701-E0009" w:history="1">
        <w:r w:rsidRPr="00512765">
          <w:rPr>
            <w:rFonts w:ascii="Times New Roman" w:eastAsia="Times New Roman" w:hAnsi="Times New Roman" w:cs="Times New Roman"/>
            <w:color w:val="0000FF"/>
            <w:sz w:val="24"/>
            <w:szCs w:val="24"/>
            <w:u w:val="single"/>
            <w:lang w:eastAsia="pl-PL"/>
          </w:rPr>
          <w:t>(9)</w:t>
        </w:r>
      </w:hyperlink>
      <w:r w:rsidRPr="00512765">
        <w:rPr>
          <w:rFonts w:ascii="Times New Roman" w:eastAsia="Times New Roman" w:hAnsi="Times New Roman" w:cs="Times New Roman"/>
          <w:sz w:val="24"/>
          <w:szCs w:val="24"/>
          <w:lang w:eastAsia="pl-PL"/>
        </w:rPr>
        <w:t>  This requirement may be satisfied by the sub-processor acceding to these Clauses under the appropriate Module, in accordance with Clause 7.</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56" w:anchor="ntc10-L_2021199EN.01003701-E0010" w:history="1">
        <w:r w:rsidRPr="00512765">
          <w:rPr>
            <w:rFonts w:ascii="Times New Roman" w:eastAsia="Times New Roman" w:hAnsi="Times New Roman" w:cs="Times New Roman"/>
            <w:color w:val="0000FF"/>
            <w:sz w:val="24"/>
            <w:szCs w:val="24"/>
            <w:u w:val="single"/>
            <w:lang w:eastAsia="pl-PL"/>
          </w:rPr>
          <w:t>(10)</w:t>
        </w:r>
      </w:hyperlink>
      <w:r w:rsidRPr="00512765">
        <w:rPr>
          <w:rFonts w:ascii="Times New Roman" w:eastAsia="Times New Roman" w:hAnsi="Times New Roman" w:cs="Times New Roman"/>
          <w:sz w:val="24"/>
          <w:szCs w:val="24"/>
          <w:lang w:eastAsia="pl-PL"/>
        </w:rPr>
        <w:t>  That period may be extended by a maximum of two more months, to the extent necessary taking into account the complexity and number of requests. The data importer shall duly and promptly inform the data subject of any such extension.</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57" w:anchor="ntc11-L_2021199EN.01003701-E0011" w:history="1">
        <w:r w:rsidRPr="00512765">
          <w:rPr>
            <w:rFonts w:ascii="Times New Roman" w:eastAsia="Times New Roman" w:hAnsi="Times New Roman" w:cs="Times New Roman"/>
            <w:color w:val="0000FF"/>
            <w:sz w:val="24"/>
            <w:szCs w:val="24"/>
            <w:u w:val="single"/>
            <w:lang w:eastAsia="pl-PL"/>
          </w:rPr>
          <w:t>(11)</w:t>
        </w:r>
      </w:hyperlink>
      <w:r w:rsidRPr="00512765">
        <w:rPr>
          <w:rFonts w:ascii="Times New Roman" w:eastAsia="Times New Roman" w:hAnsi="Times New Roman" w:cs="Times New Roman"/>
          <w:sz w:val="24"/>
          <w:szCs w:val="24"/>
          <w:lang w:eastAsia="pl-PL"/>
        </w:rPr>
        <w:t>  The data importer may offer independent dispute resolution through an arbitration body only if it is established in a country that has ratified the New York Convention on Enforcement of Arbitration Awards.</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hyperlink r:id="rId58" w:anchor="ntc12-L_2021199EN.01003701-E0012" w:history="1">
        <w:r w:rsidRPr="00512765">
          <w:rPr>
            <w:rFonts w:ascii="Times New Roman" w:eastAsia="Times New Roman" w:hAnsi="Times New Roman" w:cs="Times New Roman"/>
            <w:color w:val="0000FF"/>
            <w:sz w:val="24"/>
            <w:szCs w:val="24"/>
            <w:u w:val="single"/>
            <w:lang w:eastAsia="pl-PL"/>
          </w:rPr>
          <w:t>(12)</w:t>
        </w:r>
      </w:hyperlink>
      <w:r w:rsidRPr="00512765">
        <w:rPr>
          <w:rFonts w:ascii="Times New Roman" w:eastAsia="Times New Roman" w:hAnsi="Times New Roman" w:cs="Times New Roman"/>
          <w:sz w:val="24"/>
          <w:szCs w:val="24"/>
          <w:lang w:eastAsia="pl-PL"/>
        </w:rPr>
        <w:t>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pict>
          <v:rect id="_x0000_i1029" style="width:0;height:1.5pt" o:hralign="center" o:hrstd="t" o:hr="t" fillcolor="#a0a0a0" stroked="f"/>
        </w:pic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APPENDIX</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EXPLANATORY NOTE:</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pict>
          <v:rect id="_x0000_i1030" style="width:0;height:1.5pt" o:hralign="center" o:hrstd="t" o:hr="t" fillcolor="#a0a0a0" stroked="f"/>
        </w:pic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ANNEX I</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A.   LIST OF PARTIES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ONE: Transfer controller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TWO: Transfer controller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FOUR: Transfer processor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Data exporter(s): [Identity and contact details of the data exporter(s) and, where applicable, of its/their data protection officer and/or representative in the European Union] </w:t>
      </w:r>
    </w:p>
    <w:tbl>
      <w:tblPr>
        <w:tblW w:w="5000" w:type="pct"/>
        <w:tblCellSpacing w:w="0" w:type="dxa"/>
        <w:tblCellMar>
          <w:left w:w="0" w:type="dxa"/>
          <w:right w:w="0" w:type="dxa"/>
        </w:tblCellMar>
        <w:tblLook w:val="04A0" w:firstRow="1" w:lastRow="0" w:firstColumn="1" w:lastColumn="0" w:noHBand="0" w:noVBand="1"/>
      </w:tblPr>
      <w:tblGrid>
        <w:gridCol w:w="9"/>
        <w:gridCol w:w="253"/>
        <w:gridCol w:w="8810"/>
      </w:tblGrid>
      <w:tr w:rsidR="00512765" w:rsidRPr="00512765" w:rsidTr="00512765">
        <w:trPr>
          <w:tblCellSpacing w:w="0" w:type="dxa"/>
        </w:trPr>
        <w:tc>
          <w:tcPr>
            <w:tcW w:w="0" w:type="auto"/>
            <w:hideMark/>
          </w:tcPr>
          <w:p w:rsidR="00512765" w:rsidRPr="00512765" w:rsidRDefault="00512765" w:rsidP="00512765">
            <w:pPr>
              <w:spacing w:after="0" w:line="240" w:lineRule="auto"/>
              <w:rPr>
                <w:rFonts w:ascii="Times New Roman" w:eastAsia="Times New Roman" w:hAnsi="Times New Roman" w:cs="Times New Roman"/>
                <w:sz w:val="24"/>
                <w:szCs w:val="24"/>
                <w:lang w:eastAsia="pl-PL"/>
              </w:rPr>
            </w:pP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w:t>
            </w:r>
          </w:p>
        </w:tc>
        <w:tc>
          <w:tcPr>
            <w:tcW w:w="0" w:type="auto"/>
            <w:hideMark/>
          </w:tcPr>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Name: …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Address: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Contact person’s name, position and contact details: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Activities relevant to the data transferred under these Clauses: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Signature and date: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Role (controller/processor): …</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28"/>
        <w:gridCol w:w="3833"/>
        <w:gridCol w:w="5111"/>
      </w:tblGrid>
      <w:tr w:rsidR="00512765" w:rsidRPr="00512765" w:rsidTr="00512765">
        <w:trPr>
          <w:tblCellSpacing w:w="0" w:type="dxa"/>
        </w:trPr>
        <w:tc>
          <w:tcPr>
            <w:tcW w:w="0" w:type="auto"/>
            <w:hideMark/>
          </w:tcPr>
          <w:p w:rsidR="00512765" w:rsidRPr="00512765" w:rsidRDefault="00512765" w:rsidP="00512765">
            <w:pPr>
              <w:spacing w:after="0" w:line="240" w:lineRule="auto"/>
              <w:rPr>
                <w:rFonts w:ascii="Times New Roman" w:eastAsia="Times New Roman" w:hAnsi="Times New Roman" w:cs="Times New Roman"/>
                <w:sz w:val="24"/>
                <w:szCs w:val="24"/>
                <w:lang w:eastAsia="pl-PL"/>
              </w:rPr>
            </w:pP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2.</w:t>
            </w:r>
          </w:p>
        </w:tc>
        <w:tc>
          <w:tcPr>
            <w:tcW w:w="0" w:type="auto"/>
            <w:hideMark/>
          </w:tcPr>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 </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Data importer(s): [Identity and contact details of the data importer(s), including any contact person with responsibility for data protection] </w:t>
      </w:r>
    </w:p>
    <w:tbl>
      <w:tblPr>
        <w:tblW w:w="5000" w:type="pct"/>
        <w:tblCellSpacing w:w="0" w:type="dxa"/>
        <w:tblCellMar>
          <w:left w:w="0" w:type="dxa"/>
          <w:right w:w="0" w:type="dxa"/>
        </w:tblCellMar>
        <w:tblLook w:val="04A0" w:firstRow="1" w:lastRow="0" w:firstColumn="1" w:lastColumn="0" w:noHBand="0" w:noVBand="1"/>
      </w:tblPr>
      <w:tblGrid>
        <w:gridCol w:w="9"/>
        <w:gridCol w:w="253"/>
        <w:gridCol w:w="8810"/>
      </w:tblGrid>
      <w:tr w:rsidR="00512765" w:rsidRPr="00512765" w:rsidTr="00512765">
        <w:trPr>
          <w:tblCellSpacing w:w="0" w:type="dxa"/>
        </w:trPr>
        <w:tc>
          <w:tcPr>
            <w:tcW w:w="0" w:type="auto"/>
            <w:hideMark/>
          </w:tcPr>
          <w:p w:rsidR="00512765" w:rsidRPr="00512765" w:rsidRDefault="00512765" w:rsidP="00512765">
            <w:pPr>
              <w:spacing w:after="0" w:line="240" w:lineRule="auto"/>
              <w:rPr>
                <w:rFonts w:ascii="Times New Roman" w:eastAsia="Times New Roman" w:hAnsi="Times New Roman" w:cs="Times New Roman"/>
                <w:sz w:val="24"/>
                <w:szCs w:val="24"/>
                <w:lang w:eastAsia="pl-PL"/>
              </w:rPr>
            </w:pP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w:t>
            </w:r>
          </w:p>
        </w:tc>
        <w:tc>
          <w:tcPr>
            <w:tcW w:w="0" w:type="auto"/>
            <w:hideMark/>
          </w:tcPr>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Name: …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Address: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Contact person’s name, position and contact details: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Activities relevant to the data transferred under these Clauses: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Signature and date: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Role (controller/processor): …</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28"/>
        <w:gridCol w:w="3833"/>
        <w:gridCol w:w="5111"/>
      </w:tblGrid>
      <w:tr w:rsidR="00512765" w:rsidRPr="00512765" w:rsidTr="00512765">
        <w:trPr>
          <w:tblCellSpacing w:w="0" w:type="dxa"/>
        </w:trPr>
        <w:tc>
          <w:tcPr>
            <w:tcW w:w="0" w:type="auto"/>
            <w:hideMark/>
          </w:tcPr>
          <w:p w:rsidR="00512765" w:rsidRPr="00512765" w:rsidRDefault="00512765" w:rsidP="00512765">
            <w:pPr>
              <w:spacing w:after="0" w:line="240" w:lineRule="auto"/>
              <w:rPr>
                <w:rFonts w:ascii="Times New Roman" w:eastAsia="Times New Roman" w:hAnsi="Times New Roman" w:cs="Times New Roman"/>
                <w:sz w:val="24"/>
                <w:szCs w:val="24"/>
                <w:lang w:eastAsia="pl-PL"/>
              </w:rPr>
            </w:pP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2.</w:t>
            </w:r>
          </w:p>
        </w:tc>
        <w:tc>
          <w:tcPr>
            <w:tcW w:w="0" w:type="auto"/>
            <w:hideMark/>
          </w:tcPr>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 </w:t>
            </w:r>
          </w:p>
        </w:tc>
      </w:tr>
    </w:tbl>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B.   DESCRIPTION OF TRANSFER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ONE: Transfer controller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 xml:space="preserve">MODULE TWO: Transfer controller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FOUR: Transfer processor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Categories of data subjects whose personal data is transferred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Categories of personal data transferred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The frequency of the transfer (e.g. whether the data is transferred on a one-off or continuous basis).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Nature of the processing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Purpose(s) of the data transfer and further processing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The period for which the personal data will be retained, or, if that is not possible, the criteria used to determine that period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For transfers to (sub-) processors, also specify subject matter, nature and duration of the processing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C.   COMPETENT SUPERVISORY AUTHORITY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ONE: Transfer controller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TWO: Transfer controller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 xml:space="preserve">MODULE THREE: Transfer processor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Identify the competent supervisory authority/ies in accordance with Clause 13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 </w:t>
      </w:r>
    </w:p>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pict>
          <v:rect id="_x0000_i1031" style="width:0;height:1.5pt" o:hralign="center" o:hrstd="t" o:hr="t" fillcolor="#a0a0a0" stroked="f"/>
        </w:pic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ANNEX II</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TECHNICAL AND ORGANISATIONAL MEASURES INCLUDING TECHNICAL AND ORGANISATIONAL MEASURES TO ENSURE THE SECURITY OF THE DATA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ONE: Transfer controller to controller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TWO: Transfer controller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EXPLANATORY NOTE:</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technical and organisational measures must be described in specific (and not generic) terms. See also the general comment on the first page of the Appendix, in particular on the need to clearly indicate which measures apply to each transfer/set of transfers.</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Description of the technical and organisational measures implemented by the data importer(s) (including any relevant certifications) to ensure an appropriate level of security, taking into account the nature, scope, context and purpose of the processing, and the risks for the rights and freedoms of natural persons.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[Examples of possible measures: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of pseudonymisation and encryption of personal data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ensuring ongoing confidentiality, integrity, availability and resilience of processing systems and services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ensuring the ability to restore the availability and access to personal data in a timely manner in the event of a physical or technical incident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Processes for regularly testing, assessing and evaluating the effectiveness of technical and organisational measures in order to ensure the security of the processing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user identification and authorisation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the protection of data during transmission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the protection of data during storage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ensuring physical security of locations at which personal data are processed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lastRenderedPageBreak/>
        <w:t xml:space="preserve">Measures for ensuring events logging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ensuring system configuration, including default configuration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internal IT and IT security governance and management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certification/assurance of processes and products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ensuring data minimisation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ensuring data quality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ensuring limited data retention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ensuring accountability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Measures for allowing data portability and ensuring erasure]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For transfers to (sub-) processors, also describe the specific technical and organisational measures to be taken by the (sub-) processor to be able to provide assistance to the controller and, for transfers from a processor to a sub-processor, to the data exporter </w:t>
      </w:r>
    </w:p>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pict>
          <v:rect id="_x0000_i1032" style="width:0;height:1.5pt" o:hralign="center" o:hrstd="t" o:hr="t" fillcolor="#a0a0a0" stroked="f"/>
        </w:pic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ANNEX III</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LIST OF SUB-PROCESSORS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TWO: Transfer controller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MODULE THREE: Transfer processor to processor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EXPLANATORY NOTE:</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This Annex must be completed for Modules Two and Three, in case of the specific authorisation of sub-processors (Clause 9(a), Option 1).</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The controller has authorised the use of the following sub-processors:</w:t>
      </w:r>
    </w:p>
    <w:tbl>
      <w:tblPr>
        <w:tblW w:w="5000" w:type="pct"/>
        <w:tblCellSpacing w:w="0" w:type="dxa"/>
        <w:tblCellMar>
          <w:left w:w="0" w:type="dxa"/>
          <w:right w:w="0" w:type="dxa"/>
        </w:tblCellMar>
        <w:tblLook w:val="04A0" w:firstRow="1" w:lastRow="0" w:firstColumn="1" w:lastColumn="0" w:noHBand="0" w:noVBand="1"/>
      </w:tblPr>
      <w:tblGrid>
        <w:gridCol w:w="6"/>
        <w:gridCol w:w="180"/>
        <w:gridCol w:w="8886"/>
      </w:tblGrid>
      <w:tr w:rsidR="00512765" w:rsidRPr="00512765" w:rsidTr="00512765">
        <w:trPr>
          <w:tblCellSpacing w:w="0" w:type="dxa"/>
        </w:trPr>
        <w:tc>
          <w:tcPr>
            <w:tcW w:w="0" w:type="auto"/>
            <w:hideMark/>
          </w:tcPr>
          <w:p w:rsidR="00512765" w:rsidRPr="00512765" w:rsidRDefault="00512765" w:rsidP="00512765">
            <w:pPr>
              <w:spacing w:after="0" w:line="240" w:lineRule="auto"/>
              <w:rPr>
                <w:rFonts w:ascii="Times New Roman" w:eastAsia="Times New Roman" w:hAnsi="Times New Roman" w:cs="Times New Roman"/>
                <w:sz w:val="24"/>
                <w:szCs w:val="24"/>
                <w:lang w:eastAsia="pl-PL"/>
              </w:rPr>
            </w:pP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1.</w:t>
            </w:r>
          </w:p>
        </w:tc>
        <w:tc>
          <w:tcPr>
            <w:tcW w:w="0" w:type="auto"/>
            <w:hideMark/>
          </w:tcPr>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Name: …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Address: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Contact person’s name, position and contact details: …</w:t>
            </w:r>
          </w:p>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Description of processing (including a clear delimitation of responsibilities in case several sub-processors are authorised): …</w:t>
            </w:r>
          </w:p>
        </w:tc>
      </w:tr>
    </w:tbl>
    <w:p w:rsidR="00512765" w:rsidRPr="00512765" w:rsidRDefault="00512765" w:rsidP="00512765">
      <w:pPr>
        <w:spacing w:after="0" w:line="240" w:lineRule="auto"/>
        <w:rPr>
          <w:rFonts w:ascii="Times New Roman" w:eastAsia="Times New Roman" w:hAnsi="Times New Roman" w:cs="Times New Roman"/>
          <w:vanish/>
          <w:sz w:val="24"/>
          <w:szCs w:val="24"/>
          <w:lang w:eastAsia="pl-PL"/>
        </w:rPr>
      </w:pPr>
    </w:p>
    <w:tbl>
      <w:tblPr>
        <w:tblW w:w="5000" w:type="pct"/>
        <w:tblCellSpacing w:w="0" w:type="dxa"/>
        <w:tblCellMar>
          <w:left w:w="0" w:type="dxa"/>
          <w:right w:w="0" w:type="dxa"/>
        </w:tblCellMar>
        <w:tblLook w:val="04A0" w:firstRow="1" w:lastRow="0" w:firstColumn="1" w:lastColumn="0" w:noHBand="0" w:noVBand="1"/>
      </w:tblPr>
      <w:tblGrid>
        <w:gridCol w:w="128"/>
        <w:gridCol w:w="3833"/>
        <w:gridCol w:w="5111"/>
      </w:tblGrid>
      <w:tr w:rsidR="00512765" w:rsidRPr="00512765" w:rsidTr="00512765">
        <w:trPr>
          <w:tblCellSpacing w:w="0" w:type="dxa"/>
        </w:trPr>
        <w:tc>
          <w:tcPr>
            <w:tcW w:w="0" w:type="auto"/>
            <w:hideMark/>
          </w:tcPr>
          <w:p w:rsidR="00512765" w:rsidRPr="00512765" w:rsidRDefault="00512765" w:rsidP="00512765">
            <w:pPr>
              <w:spacing w:after="0" w:line="240" w:lineRule="auto"/>
              <w:rPr>
                <w:rFonts w:ascii="Times New Roman" w:eastAsia="Times New Roman" w:hAnsi="Times New Roman" w:cs="Times New Roman"/>
                <w:sz w:val="24"/>
                <w:szCs w:val="24"/>
                <w:lang w:eastAsia="pl-PL"/>
              </w:rPr>
            </w:pPr>
          </w:p>
        </w:tc>
        <w:tc>
          <w:tcPr>
            <w:tcW w:w="0" w:type="auto"/>
            <w:hideMark/>
          </w:tcPr>
          <w:p w:rsidR="00512765" w:rsidRPr="00512765" w:rsidRDefault="00512765" w:rsidP="00512765">
            <w:pPr>
              <w:spacing w:before="100" w:beforeAutospacing="1" w:after="100" w:afterAutospacing="1"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2.</w:t>
            </w:r>
          </w:p>
        </w:tc>
        <w:tc>
          <w:tcPr>
            <w:tcW w:w="0" w:type="auto"/>
            <w:hideMark/>
          </w:tcPr>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t xml:space="preserve">… </w:t>
            </w:r>
          </w:p>
        </w:tc>
      </w:tr>
    </w:tbl>
    <w:p w:rsidR="00512765" w:rsidRPr="00512765" w:rsidRDefault="00512765" w:rsidP="00512765">
      <w:pPr>
        <w:spacing w:after="0" w:line="240" w:lineRule="auto"/>
        <w:rPr>
          <w:rFonts w:ascii="Times New Roman" w:eastAsia="Times New Roman" w:hAnsi="Times New Roman" w:cs="Times New Roman"/>
          <w:sz w:val="24"/>
          <w:szCs w:val="24"/>
          <w:lang w:eastAsia="pl-PL"/>
        </w:rPr>
      </w:pPr>
      <w:r w:rsidRPr="00512765">
        <w:rPr>
          <w:rFonts w:ascii="Times New Roman" w:eastAsia="Times New Roman" w:hAnsi="Times New Roman" w:cs="Times New Roman"/>
          <w:sz w:val="24"/>
          <w:szCs w:val="24"/>
          <w:lang w:eastAsia="pl-PL"/>
        </w:rPr>
        <w:pict>
          <v:rect id="_x0000_i1033" style="width:0;height:1.5pt" o:hralign="center" o:hrstd="t" o:hr="t" fillcolor="#a0a0a0" stroked="f"/>
        </w:pict>
      </w:r>
    </w:p>
    <w:p w:rsidR="00D824F3" w:rsidRDefault="00D824F3"/>
    <w:sectPr w:rsidR="00D82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A4D13"/>
    <w:multiLevelType w:val="multilevel"/>
    <w:tmpl w:val="26E8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65"/>
    <w:rsid w:val="00512765"/>
    <w:rsid w:val="00D824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F986"/>
  <w15:chartTrackingRefBased/>
  <w15:docId w15:val="{A3DC76E2-B2CA-4228-804B-51512626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512765"/>
  </w:style>
  <w:style w:type="paragraph" w:customStyle="1" w:styleId="msonormal0">
    <w:name w:val="msonormal"/>
    <w:basedOn w:val="Normalny"/>
    <w:rsid w:val="0051276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512765"/>
    <w:rPr>
      <w:color w:val="0000FF"/>
      <w:u w:val="single"/>
    </w:rPr>
  </w:style>
  <w:style w:type="character" w:styleId="UyteHipercze">
    <w:name w:val="FollowedHyperlink"/>
    <w:basedOn w:val="Domylnaczcionkaakapitu"/>
    <w:uiPriority w:val="99"/>
    <w:semiHidden/>
    <w:unhideWhenUsed/>
    <w:rsid w:val="00512765"/>
    <w:rPr>
      <w:color w:val="800080"/>
      <w:u w:val="single"/>
    </w:rPr>
  </w:style>
  <w:style w:type="paragraph" w:customStyle="1" w:styleId="toplink">
    <w:name w:val="toplink"/>
    <w:basedOn w:val="Normalny"/>
    <w:rsid w:val="005127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hd-date">
    <w:name w:val="oj-hd-date"/>
    <w:basedOn w:val="Normalny"/>
    <w:rsid w:val="005127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hd-lg">
    <w:name w:val="oj-hd-lg"/>
    <w:basedOn w:val="Normalny"/>
    <w:rsid w:val="005127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hd-ti">
    <w:name w:val="oj-hd-ti"/>
    <w:basedOn w:val="Normalny"/>
    <w:rsid w:val="005127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hd-oj">
    <w:name w:val="oj-hd-oj"/>
    <w:basedOn w:val="Normalny"/>
    <w:rsid w:val="005127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doc-ti">
    <w:name w:val="oj-doc-ti"/>
    <w:basedOn w:val="Normalny"/>
    <w:rsid w:val="005127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normal">
    <w:name w:val="oj-normal"/>
    <w:basedOn w:val="Normalny"/>
    <w:rsid w:val="0051276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j-super">
    <w:name w:val="oj-super"/>
    <w:basedOn w:val="Domylnaczcionkaakapitu"/>
    <w:rsid w:val="00512765"/>
  </w:style>
  <w:style w:type="paragraph" w:customStyle="1" w:styleId="oj-ti-art">
    <w:name w:val="oj-ti-art"/>
    <w:basedOn w:val="Normalny"/>
    <w:rsid w:val="0051276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j-italic">
    <w:name w:val="oj-italic"/>
    <w:basedOn w:val="Domylnaczcionkaakapitu"/>
    <w:rsid w:val="00512765"/>
  </w:style>
  <w:style w:type="paragraph" w:customStyle="1" w:styleId="oj-signatory">
    <w:name w:val="oj-signatory"/>
    <w:basedOn w:val="Normalny"/>
    <w:rsid w:val="005127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note">
    <w:name w:val="oj-note"/>
    <w:basedOn w:val="Normalny"/>
    <w:rsid w:val="005127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j-ti-grseq-1">
    <w:name w:val="oj-ti-grseq-1"/>
    <w:basedOn w:val="Normalny"/>
    <w:rsid w:val="0051276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j-bold">
    <w:name w:val="oj-bold"/>
    <w:basedOn w:val="Domylnaczcionkaakapitu"/>
    <w:rsid w:val="0051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329361">
      <w:bodyDiv w:val="1"/>
      <w:marLeft w:val="0"/>
      <w:marRight w:val="0"/>
      <w:marTop w:val="0"/>
      <w:marBottom w:val="0"/>
      <w:divBdr>
        <w:top w:val="none" w:sz="0" w:space="0" w:color="auto"/>
        <w:left w:val="none" w:sz="0" w:space="0" w:color="auto"/>
        <w:bottom w:val="none" w:sz="0" w:space="0" w:color="auto"/>
        <w:right w:val="none" w:sz="0" w:space="0" w:color="auto"/>
      </w:divBdr>
      <w:divsChild>
        <w:div w:id="1274895975">
          <w:marLeft w:val="0"/>
          <w:marRight w:val="0"/>
          <w:marTop w:val="0"/>
          <w:marBottom w:val="0"/>
          <w:divBdr>
            <w:top w:val="none" w:sz="0" w:space="0" w:color="auto"/>
            <w:left w:val="none" w:sz="0" w:space="0" w:color="auto"/>
            <w:bottom w:val="none" w:sz="0" w:space="0" w:color="auto"/>
            <w:right w:val="none" w:sz="0" w:space="0" w:color="auto"/>
          </w:divBdr>
          <w:divsChild>
            <w:div w:id="1730613101">
              <w:marLeft w:val="0"/>
              <w:marRight w:val="0"/>
              <w:marTop w:val="0"/>
              <w:marBottom w:val="0"/>
              <w:divBdr>
                <w:top w:val="none" w:sz="0" w:space="0" w:color="auto"/>
                <w:left w:val="none" w:sz="0" w:space="0" w:color="auto"/>
                <w:bottom w:val="none" w:sz="0" w:space="0" w:color="auto"/>
                <w:right w:val="none" w:sz="0" w:space="0" w:color="auto"/>
              </w:divBdr>
              <w:divsChild>
                <w:div w:id="1789855887">
                  <w:marLeft w:val="0"/>
                  <w:marRight w:val="0"/>
                  <w:marTop w:val="0"/>
                  <w:marBottom w:val="0"/>
                  <w:divBdr>
                    <w:top w:val="none" w:sz="0" w:space="0" w:color="auto"/>
                    <w:left w:val="none" w:sz="0" w:space="0" w:color="auto"/>
                    <w:bottom w:val="none" w:sz="0" w:space="0" w:color="auto"/>
                    <w:right w:val="none" w:sz="0" w:space="0" w:color="auto"/>
                  </w:divBdr>
                  <w:divsChild>
                    <w:div w:id="770124440">
                      <w:marLeft w:val="0"/>
                      <w:marRight w:val="0"/>
                      <w:marTop w:val="0"/>
                      <w:marBottom w:val="0"/>
                      <w:divBdr>
                        <w:top w:val="none" w:sz="0" w:space="0" w:color="auto"/>
                        <w:left w:val="none" w:sz="0" w:space="0" w:color="auto"/>
                        <w:bottom w:val="none" w:sz="0" w:space="0" w:color="auto"/>
                        <w:right w:val="none" w:sz="0" w:space="0" w:color="auto"/>
                      </w:divBdr>
                      <w:divsChild>
                        <w:div w:id="1393116139">
                          <w:marLeft w:val="0"/>
                          <w:marRight w:val="0"/>
                          <w:marTop w:val="0"/>
                          <w:marBottom w:val="0"/>
                          <w:divBdr>
                            <w:top w:val="none" w:sz="0" w:space="0" w:color="auto"/>
                            <w:left w:val="none" w:sz="0" w:space="0" w:color="auto"/>
                            <w:bottom w:val="none" w:sz="0" w:space="0" w:color="auto"/>
                            <w:right w:val="none" w:sz="0" w:space="0" w:color="auto"/>
                          </w:divBdr>
                          <w:divsChild>
                            <w:div w:id="945307461">
                              <w:marLeft w:val="0"/>
                              <w:marRight w:val="0"/>
                              <w:marTop w:val="0"/>
                              <w:marBottom w:val="0"/>
                              <w:divBdr>
                                <w:top w:val="none" w:sz="0" w:space="0" w:color="auto"/>
                                <w:left w:val="none" w:sz="0" w:space="0" w:color="auto"/>
                                <w:bottom w:val="none" w:sz="0" w:space="0" w:color="auto"/>
                                <w:right w:val="none" w:sz="0" w:space="0" w:color="auto"/>
                              </w:divBdr>
                              <w:divsChild>
                                <w:div w:id="1586843064">
                                  <w:marLeft w:val="0"/>
                                  <w:marRight w:val="0"/>
                                  <w:marTop w:val="0"/>
                                  <w:marBottom w:val="0"/>
                                  <w:divBdr>
                                    <w:top w:val="none" w:sz="0" w:space="0" w:color="auto"/>
                                    <w:left w:val="none" w:sz="0" w:space="0" w:color="auto"/>
                                    <w:bottom w:val="none" w:sz="0" w:space="0" w:color="auto"/>
                                    <w:right w:val="none" w:sz="0" w:space="0" w:color="auto"/>
                                  </w:divBdr>
                                  <w:divsChild>
                                    <w:div w:id="8484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831650">
                      <w:marLeft w:val="0"/>
                      <w:marRight w:val="0"/>
                      <w:marTop w:val="0"/>
                      <w:marBottom w:val="0"/>
                      <w:divBdr>
                        <w:top w:val="none" w:sz="0" w:space="0" w:color="auto"/>
                        <w:left w:val="none" w:sz="0" w:space="0" w:color="auto"/>
                        <w:bottom w:val="none" w:sz="0" w:space="0" w:color="auto"/>
                        <w:right w:val="none" w:sz="0" w:space="0" w:color="auto"/>
                      </w:divBdr>
                      <w:divsChild>
                        <w:div w:id="1196508010">
                          <w:marLeft w:val="0"/>
                          <w:marRight w:val="0"/>
                          <w:marTop w:val="0"/>
                          <w:marBottom w:val="0"/>
                          <w:divBdr>
                            <w:top w:val="none" w:sz="0" w:space="0" w:color="auto"/>
                            <w:left w:val="none" w:sz="0" w:space="0" w:color="auto"/>
                            <w:bottom w:val="none" w:sz="0" w:space="0" w:color="auto"/>
                            <w:right w:val="none" w:sz="0" w:space="0" w:color="auto"/>
                          </w:divBdr>
                          <w:divsChild>
                            <w:div w:id="40987310">
                              <w:marLeft w:val="0"/>
                              <w:marRight w:val="0"/>
                              <w:marTop w:val="0"/>
                              <w:marBottom w:val="0"/>
                              <w:divBdr>
                                <w:top w:val="none" w:sz="0" w:space="0" w:color="auto"/>
                                <w:left w:val="none" w:sz="0" w:space="0" w:color="auto"/>
                                <w:bottom w:val="none" w:sz="0" w:space="0" w:color="auto"/>
                                <w:right w:val="none" w:sz="0" w:space="0" w:color="auto"/>
                              </w:divBdr>
                              <w:divsChild>
                                <w:div w:id="1392076438">
                                  <w:marLeft w:val="0"/>
                                  <w:marRight w:val="0"/>
                                  <w:marTop w:val="0"/>
                                  <w:marBottom w:val="0"/>
                                  <w:divBdr>
                                    <w:top w:val="none" w:sz="0" w:space="0" w:color="auto"/>
                                    <w:left w:val="none" w:sz="0" w:space="0" w:color="auto"/>
                                    <w:bottom w:val="none" w:sz="0" w:space="0" w:color="auto"/>
                                    <w:right w:val="none" w:sz="0" w:space="0" w:color="auto"/>
                                  </w:divBdr>
                                </w:div>
                                <w:div w:id="956957713">
                                  <w:marLeft w:val="0"/>
                                  <w:marRight w:val="0"/>
                                  <w:marTop w:val="0"/>
                                  <w:marBottom w:val="0"/>
                                  <w:divBdr>
                                    <w:top w:val="none" w:sz="0" w:space="0" w:color="auto"/>
                                    <w:left w:val="none" w:sz="0" w:space="0" w:color="auto"/>
                                    <w:bottom w:val="none" w:sz="0" w:space="0" w:color="auto"/>
                                    <w:right w:val="none" w:sz="0" w:space="0" w:color="auto"/>
                                  </w:divBdr>
                                </w:div>
                              </w:divsChild>
                            </w:div>
                            <w:div w:id="1013992679">
                              <w:marLeft w:val="0"/>
                              <w:marRight w:val="0"/>
                              <w:marTop w:val="0"/>
                              <w:marBottom w:val="0"/>
                              <w:divBdr>
                                <w:top w:val="none" w:sz="0" w:space="0" w:color="auto"/>
                                <w:left w:val="none" w:sz="0" w:space="0" w:color="auto"/>
                                <w:bottom w:val="none" w:sz="0" w:space="0" w:color="auto"/>
                                <w:right w:val="none" w:sz="0" w:space="0" w:color="auto"/>
                              </w:divBdr>
                            </w:div>
                            <w:div w:id="1562711160">
                              <w:marLeft w:val="0"/>
                              <w:marRight w:val="0"/>
                              <w:marTop w:val="0"/>
                              <w:marBottom w:val="0"/>
                              <w:divBdr>
                                <w:top w:val="none" w:sz="0" w:space="0" w:color="auto"/>
                                <w:left w:val="none" w:sz="0" w:space="0" w:color="auto"/>
                                <w:bottom w:val="none" w:sz="0" w:space="0" w:color="auto"/>
                                <w:right w:val="none" w:sz="0" w:space="0" w:color="auto"/>
                              </w:divBdr>
                            </w:div>
                            <w:div w:id="1149709304">
                              <w:marLeft w:val="0"/>
                              <w:marRight w:val="0"/>
                              <w:marTop w:val="0"/>
                              <w:marBottom w:val="0"/>
                              <w:divBdr>
                                <w:top w:val="none" w:sz="0" w:space="0" w:color="auto"/>
                                <w:left w:val="none" w:sz="0" w:space="0" w:color="auto"/>
                                <w:bottom w:val="none" w:sz="0" w:space="0" w:color="auto"/>
                                <w:right w:val="none" w:sz="0" w:space="0" w:color="auto"/>
                              </w:divBdr>
                              <w:divsChild>
                                <w:div w:id="1563248611">
                                  <w:marLeft w:val="0"/>
                                  <w:marRight w:val="0"/>
                                  <w:marTop w:val="0"/>
                                  <w:marBottom w:val="0"/>
                                  <w:divBdr>
                                    <w:top w:val="none" w:sz="0" w:space="0" w:color="auto"/>
                                    <w:left w:val="none" w:sz="0" w:space="0" w:color="auto"/>
                                    <w:bottom w:val="none" w:sz="0" w:space="0" w:color="auto"/>
                                    <w:right w:val="none" w:sz="0" w:space="0" w:color="auto"/>
                                  </w:divBdr>
                                </w:div>
                                <w:div w:id="1694527947">
                                  <w:marLeft w:val="0"/>
                                  <w:marRight w:val="0"/>
                                  <w:marTop w:val="0"/>
                                  <w:marBottom w:val="0"/>
                                  <w:divBdr>
                                    <w:top w:val="none" w:sz="0" w:space="0" w:color="auto"/>
                                    <w:left w:val="none" w:sz="0" w:space="0" w:color="auto"/>
                                    <w:bottom w:val="none" w:sz="0" w:space="0" w:color="auto"/>
                                    <w:right w:val="none" w:sz="0" w:space="0" w:color="auto"/>
                                  </w:divBdr>
                                </w:div>
                                <w:div w:id="425543666">
                                  <w:marLeft w:val="0"/>
                                  <w:marRight w:val="0"/>
                                  <w:marTop w:val="0"/>
                                  <w:marBottom w:val="0"/>
                                  <w:divBdr>
                                    <w:top w:val="none" w:sz="0" w:space="0" w:color="auto"/>
                                    <w:left w:val="none" w:sz="0" w:space="0" w:color="auto"/>
                                    <w:bottom w:val="none" w:sz="0" w:space="0" w:color="auto"/>
                                    <w:right w:val="none" w:sz="0" w:space="0" w:color="auto"/>
                                  </w:divBdr>
                                </w:div>
                                <w:div w:id="794102680">
                                  <w:marLeft w:val="0"/>
                                  <w:marRight w:val="0"/>
                                  <w:marTop w:val="0"/>
                                  <w:marBottom w:val="0"/>
                                  <w:divBdr>
                                    <w:top w:val="none" w:sz="0" w:space="0" w:color="auto"/>
                                    <w:left w:val="none" w:sz="0" w:space="0" w:color="auto"/>
                                    <w:bottom w:val="none" w:sz="0" w:space="0" w:color="auto"/>
                                    <w:right w:val="none" w:sz="0" w:space="0" w:color="auto"/>
                                  </w:divBdr>
                                </w:div>
                              </w:divsChild>
                            </w:div>
                            <w:div w:id="1603763941">
                              <w:marLeft w:val="0"/>
                              <w:marRight w:val="0"/>
                              <w:marTop w:val="0"/>
                              <w:marBottom w:val="0"/>
                              <w:divBdr>
                                <w:top w:val="none" w:sz="0" w:space="0" w:color="auto"/>
                                <w:left w:val="none" w:sz="0" w:space="0" w:color="auto"/>
                                <w:bottom w:val="none" w:sz="0" w:space="0" w:color="auto"/>
                                <w:right w:val="none" w:sz="0" w:space="0" w:color="auto"/>
                              </w:divBdr>
                              <w:divsChild>
                                <w:div w:id="18971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7191">
                          <w:marLeft w:val="0"/>
                          <w:marRight w:val="0"/>
                          <w:marTop w:val="0"/>
                          <w:marBottom w:val="0"/>
                          <w:divBdr>
                            <w:top w:val="none" w:sz="0" w:space="0" w:color="auto"/>
                            <w:left w:val="none" w:sz="0" w:space="0" w:color="auto"/>
                            <w:bottom w:val="none" w:sz="0" w:space="0" w:color="auto"/>
                            <w:right w:val="none" w:sz="0" w:space="0" w:color="auto"/>
                          </w:divBdr>
                          <w:divsChild>
                            <w:div w:id="852377873">
                              <w:marLeft w:val="0"/>
                              <w:marRight w:val="0"/>
                              <w:marTop w:val="0"/>
                              <w:marBottom w:val="0"/>
                              <w:divBdr>
                                <w:top w:val="none" w:sz="0" w:space="0" w:color="auto"/>
                                <w:left w:val="none" w:sz="0" w:space="0" w:color="auto"/>
                                <w:bottom w:val="none" w:sz="0" w:space="0" w:color="auto"/>
                                <w:right w:val="none" w:sz="0" w:space="0" w:color="auto"/>
                              </w:divBdr>
                            </w:div>
                          </w:divsChild>
                        </w:div>
                        <w:div w:id="550968522">
                          <w:marLeft w:val="0"/>
                          <w:marRight w:val="0"/>
                          <w:marTop w:val="0"/>
                          <w:marBottom w:val="0"/>
                          <w:divBdr>
                            <w:top w:val="none" w:sz="0" w:space="0" w:color="auto"/>
                            <w:left w:val="none" w:sz="0" w:space="0" w:color="auto"/>
                            <w:bottom w:val="none" w:sz="0" w:space="0" w:color="auto"/>
                            <w:right w:val="none" w:sz="0" w:space="0" w:color="auto"/>
                          </w:divBdr>
                          <w:divsChild>
                            <w:div w:id="822308432">
                              <w:marLeft w:val="0"/>
                              <w:marRight w:val="0"/>
                              <w:marTop w:val="0"/>
                              <w:marBottom w:val="0"/>
                              <w:divBdr>
                                <w:top w:val="none" w:sz="0" w:space="0" w:color="auto"/>
                                <w:left w:val="none" w:sz="0" w:space="0" w:color="auto"/>
                                <w:bottom w:val="none" w:sz="0" w:space="0" w:color="auto"/>
                                <w:right w:val="none" w:sz="0" w:space="0" w:color="auto"/>
                              </w:divBdr>
                            </w:div>
                          </w:divsChild>
                        </w:div>
                        <w:div w:id="1054427393">
                          <w:marLeft w:val="0"/>
                          <w:marRight w:val="0"/>
                          <w:marTop w:val="0"/>
                          <w:marBottom w:val="0"/>
                          <w:divBdr>
                            <w:top w:val="none" w:sz="0" w:space="0" w:color="auto"/>
                            <w:left w:val="none" w:sz="0" w:space="0" w:color="auto"/>
                            <w:bottom w:val="none" w:sz="0" w:space="0" w:color="auto"/>
                            <w:right w:val="none" w:sz="0" w:space="0" w:color="auto"/>
                          </w:divBdr>
                          <w:divsChild>
                            <w:div w:id="810443895">
                              <w:marLeft w:val="0"/>
                              <w:marRight w:val="0"/>
                              <w:marTop w:val="0"/>
                              <w:marBottom w:val="0"/>
                              <w:divBdr>
                                <w:top w:val="none" w:sz="0" w:space="0" w:color="auto"/>
                                <w:left w:val="none" w:sz="0" w:space="0" w:color="auto"/>
                                <w:bottom w:val="none" w:sz="0" w:space="0" w:color="auto"/>
                                <w:right w:val="none" w:sz="0" w:space="0" w:color="auto"/>
                              </w:divBdr>
                            </w:div>
                          </w:divsChild>
                        </w:div>
                        <w:div w:id="2050835792">
                          <w:marLeft w:val="0"/>
                          <w:marRight w:val="0"/>
                          <w:marTop w:val="0"/>
                          <w:marBottom w:val="0"/>
                          <w:divBdr>
                            <w:top w:val="none" w:sz="0" w:space="0" w:color="auto"/>
                            <w:left w:val="none" w:sz="0" w:space="0" w:color="auto"/>
                            <w:bottom w:val="none" w:sz="0" w:space="0" w:color="auto"/>
                            <w:right w:val="none" w:sz="0" w:space="0" w:color="auto"/>
                          </w:divBdr>
                          <w:divsChild>
                            <w:div w:id="951058512">
                              <w:marLeft w:val="0"/>
                              <w:marRight w:val="0"/>
                              <w:marTop w:val="0"/>
                              <w:marBottom w:val="0"/>
                              <w:divBdr>
                                <w:top w:val="none" w:sz="0" w:space="0" w:color="auto"/>
                                <w:left w:val="none" w:sz="0" w:space="0" w:color="auto"/>
                                <w:bottom w:val="none" w:sz="0" w:space="0" w:color="auto"/>
                                <w:right w:val="none" w:sz="0" w:space="0" w:color="auto"/>
                              </w:divBdr>
                            </w:div>
                          </w:divsChild>
                        </w:div>
                        <w:div w:id="450825483">
                          <w:marLeft w:val="0"/>
                          <w:marRight w:val="0"/>
                          <w:marTop w:val="0"/>
                          <w:marBottom w:val="0"/>
                          <w:divBdr>
                            <w:top w:val="none" w:sz="0" w:space="0" w:color="auto"/>
                            <w:left w:val="none" w:sz="0" w:space="0" w:color="auto"/>
                            <w:bottom w:val="none" w:sz="0" w:space="0" w:color="auto"/>
                            <w:right w:val="none" w:sz="0" w:space="0" w:color="auto"/>
                          </w:divBdr>
                          <w:divsChild>
                            <w:div w:id="16378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HTML/?uri=CELEX:32021D0914&amp;from=PL" TargetMode="External"/><Relationship Id="rId18" Type="http://schemas.openxmlformats.org/officeDocument/2006/relationships/hyperlink" Target="https://eur-lex.europa.eu/legal-content/EN/AUTO/?uri=OJ:L:2016:119:TOC" TargetMode="External"/><Relationship Id="rId26" Type="http://schemas.openxmlformats.org/officeDocument/2006/relationships/hyperlink" Target="https://eur-lex.europa.eu/legal-content/EN/TXT/HTML/?uri=CELEX:32021D0914&amp;from=PL" TargetMode="External"/><Relationship Id="rId39" Type="http://schemas.openxmlformats.org/officeDocument/2006/relationships/hyperlink" Target="https://eur-lex.europa.eu/legal-content/EN/TXT/HTML/?uri=CELEX:32021D0914&amp;from=PL" TargetMode="External"/><Relationship Id="rId21" Type="http://schemas.openxmlformats.org/officeDocument/2006/relationships/hyperlink" Target="https://eur-lex.europa.eu/legal-content/EN/TXT/HTML/?uri=CELEX:32021D0914&amp;from=PL" TargetMode="External"/><Relationship Id="rId34" Type="http://schemas.openxmlformats.org/officeDocument/2006/relationships/hyperlink" Target="https://eur-lex.europa.eu/legal-content/EN/TXT/HTML/?uri=CELEX:32021D0914&amp;from=PL" TargetMode="External"/><Relationship Id="rId42" Type="http://schemas.openxmlformats.org/officeDocument/2006/relationships/hyperlink" Target="https://eur-lex.europa.eu/legal-content/EN/TXT/HTML/?uri=CELEX:32021D0914&amp;from=PL" TargetMode="External"/><Relationship Id="rId47" Type="http://schemas.openxmlformats.org/officeDocument/2006/relationships/hyperlink" Target="https://eur-lex.europa.eu/legal-content/EN/AUTO/?uri=OJ:L:2018:295:TOC" TargetMode="External"/><Relationship Id="rId50" Type="http://schemas.openxmlformats.org/officeDocument/2006/relationships/hyperlink" Target="https://eur-lex.europa.eu/legal-content/EN/TXT/HTML/?uri=CELEX:32021D0914&amp;from=PL" TargetMode="External"/><Relationship Id="rId55" Type="http://schemas.openxmlformats.org/officeDocument/2006/relationships/hyperlink" Target="https://eur-lex.europa.eu/legal-content/EN/TXT/HTML/?uri=CELEX:32021D0914&amp;from=PL" TargetMode="External"/><Relationship Id="rId7" Type="http://schemas.openxmlformats.org/officeDocument/2006/relationships/hyperlink" Target="https://eur-lex.europa.eu/legal-content/EN/TXT/HTML/?uri=CELEX:32021D0914&amp;from=PL" TargetMode="External"/><Relationship Id="rId2" Type="http://schemas.openxmlformats.org/officeDocument/2006/relationships/styles" Target="styles.xml"/><Relationship Id="rId16" Type="http://schemas.openxmlformats.org/officeDocument/2006/relationships/hyperlink" Target="https://eur-lex.europa.eu/legal-content/EN/TXT/HTML/?uri=CELEX:32021D0914&amp;from=PL" TargetMode="External"/><Relationship Id="rId29" Type="http://schemas.openxmlformats.org/officeDocument/2006/relationships/hyperlink" Target="https://eur-lex.europa.eu/legal-content/EN/AUTO/?uri=OJ:L:2018:295:TOC" TargetMode="External"/><Relationship Id="rId11" Type="http://schemas.openxmlformats.org/officeDocument/2006/relationships/hyperlink" Target="https://eur-lex.europa.eu/legal-content/EN/TXT/HTML/?uri=CELEX:32021D0914&amp;from=PL" TargetMode="External"/><Relationship Id="rId24" Type="http://schemas.openxmlformats.org/officeDocument/2006/relationships/hyperlink" Target="https://eur-lex.europa.eu/legal-content/EN/TXT/HTML/?uri=CELEX:32021D0914&amp;from=PL" TargetMode="External"/><Relationship Id="rId32" Type="http://schemas.openxmlformats.org/officeDocument/2006/relationships/hyperlink" Target="https://eur-lex.europa.eu/legal-content/EN/TXT/HTML/?uri=CELEX:32021D0914&amp;from=PL" TargetMode="External"/><Relationship Id="rId37" Type="http://schemas.openxmlformats.org/officeDocument/2006/relationships/hyperlink" Target="https://eur-lex.europa.eu/legal-content/EN/TXT/HTML/?uri=CELEX:32021D0914&amp;from=PL" TargetMode="External"/><Relationship Id="rId40" Type="http://schemas.openxmlformats.org/officeDocument/2006/relationships/hyperlink" Target="https://eur-lex.europa.eu/legal-content/EN/TXT/HTML/?uri=CELEX:32021D0914&amp;from=PL" TargetMode="External"/><Relationship Id="rId45" Type="http://schemas.openxmlformats.org/officeDocument/2006/relationships/hyperlink" Target="https://eur-lex.europa.eu/legal-content/EN/TXT/HTML/?uri=CELEX:32021D0914&amp;from=PL" TargetMode="External"/><Relationship Id="rId53" Type="http://schemas.openxmlformats.org/officeDocument/2006/relationships/hyperlink" Target="https://eur-lex.europa.eu/legal-content/EN/TXT/HTML/?uri=CELEX:32021D0914&amp;from=PL" TargetMode="External"/><Relationship Id="rId58" Type="http://schemas.openxmlformats.org/officeDocument/2006/relationships/hyperlink" Target="https://eur-lex.europa.eu/legal-content/EN/TXT/HTML/?uri=CELEX:32021D0914&amp;from=PL" TargetMode="External"/><Relationship Id="rId5" Type="http://schemas.openxmlformats.org/officeDocument/2006/relationships/hyperlink" Target="https://eur-lex.europa.eu/legal-content/EN/TXT/HTML/?uri=CELEX:32021D0914&amp;from=PL" TargetMode="External"/><Relationship Id="rId19" Type="http://schemas.openxmlformats.org/officeDocument/2006/relationships/hyperlink" Target="https://eur-lex.europa.eu/legal-content/EN/TXT/HTML/?uri=CELEX:32021D0914&amp;from=PL" TargetMode="External"/><Relationship Id="rId4" Type="http://schemas.openxmlformats.org/officeDocument/2006/relationships/webSettings" Target="webSettings.xml"/><Relationship Id="rId9" Type="http://schemas.openxmlformats.org/officeDocument/2006/relationships/hyperlink" Target="https://eur-lex.europa.eu/legal-content/EN/TXT/HTML/?uri=CELEX:32021D0914&amp;from=PL" TargetMode="External"/><Relationship Id="rId14" Type="http://schemas.openxmlformats.org/officeDocument/2006/relationships/hyperlink" Target="https://eur-lex.europa.eu/legal-content/EN/TXT/HTML/?uri=CELEX:32021D0914&amp;from=PL" TargetMode="External"/><Relationship Id="rId22" Type="http://schemas.openxmlformats.org/officeDocument/2006/relationships/hyperlink" Target="https://eur-lex.europa.eu/legal-content/EN/TXT/HTML/?uri=CELEX:32021D0914&amp;from=PL" TargetMode="External"/><Relationship Id="rId27" Type="http://schemas.openxmlformats.org/officeDocument/2006/relationships/hyperlink" Target="https://eur-lex.europa.eu/legal-content/EN/AUTO/?uri=OJ:L:1995:281:TOC" TargetMode="External"/><Relationship Id="rId30" Type="http://schemas.openxmlformats.org/officeDocument/2006/relationships/hyperlink" Target="https://eur-lex.europa.eu/legal-content/EN/TXT/HTML/?uri=CELEX:32021D0914&amp;from=PL" TargetMode="External"/><Relationship Id="rId35" Type="http://schemas.openxmlformats.org/officeDocument/2006/relationships/hyperlink" Target="https://eur-lex.europa.eu/legal-content/EN/TXT/HTML/?uri=CELEX:32021D0914&amp;from=PL" TargetMode="External"/><Relationship Id="rId43" Type="http://schemas.openxmlformats.org/officeDocument/2006/relationships/hyperlink" Target="https://eur-lex.europa.eu/legal-content/EN/TXT/HTML/?uri=CELEX:32021D0914&amp;from=PL" TargetMode="External"/><Relationship Id="rId48" Type="http://schemas.openxmlformats.org/officeDocument/2006/relationships/hyperlink" Target="https://eur-lex.europa.eu/legal-content/EN/TXT/HTML/?uri=CELEX:32021D0914&amp;from=PL" TargetMode="External"/><Relationship Id="rId56" Type="http://schemas.openxmlformats.org/officeDocument/2006/relationships/hyperlink" Target="https://eur-lex.europa.eu/legal-content/EN/TXT/HTML/?uri=CELEX:32021D0914&amp;from=PL" TargetMode="External"/><Relationship Id="rId8" Type="http://schemas.openxmlformats.org/officeDocument/2006/relationships/hyperlink" Target="https://eur-lex.europa.eu/legal-content/EN/TXT/HTML/?uri=CELEX:32021D0914&amp;from=PL" TargetMode="External"/><Relationship Id="rId51" Type="http://schemas.openxmlformats.org/officeDocument/2006/relationships/hyperlink" Target="https://eur-lex.europa.eu/legal-content/EN/TXT/HTML/?uri=CELEX:32021D0914&amp;from=PL" TargetMode="External"/><Relationship Id="rId3" Type="http://schemas.openxmlformats.org/officeDocument/2006/relationships/settings" Target="settings.xml"/><Relationship Id="rId12" Type="http://schemas.openxmlformats.org/officeDocument/2006/relationships/hyperlink" Target="https://eur-lex.europa.eu/legal-content/EN/TXT/HTML/?uri=CELEX:32021D0914&amp;from=PL" TargetMode="External"/><Relationship Id="rId17" Type="http://schemas.openxmlformats.org/officeDocument/2006/relationships/hyperlink" Target="https://eur-lex.europa.eu/legal-content/EN/TXT/HTML/?uri=CELEX:32021D0914&amp;from=PL" TargetMode="External"/><Relationship Id="rId25" Type="http://schemas.openxmlformats.org/officeDocument/2006/relationships/hyperlink" Target="https://eur-lex.europa.eu/legal-content/EN/AUTO/?uri=OJ:L:2010:039:TOC" TargetMode="External"/><Relationship Id="rId33" Type="http://schemas.openxmlformats.org/officeDocument/2006/relationships/hyperlink" Target="https://eur-lex.europa.eu/legal-content/EN/TXT/HTML/?uri=CELEX:32021D0914&amp;from=PL" TargetMode="External"/><Relationship Id="rId38" Type="http://schemas.openxmlformats.org/officeDocument/2006/relationships/hyperlink" Target="https://eur-lex.europa.eu/legal-content/EN/TXT/HTML/?uri=CELEX:32021D0914&amp;from=PL" TargetMode="External"/><Relationship Id="rId46" Type="http://schemas.openxmlformats.org/officeDocument/2006/relationships/hyperlink" Target="https://eur-lex.europa.eu/legal-content/EN/TXT/HTML/?uri=CELEX:32021D0914&amp;from=PL" TargetMode="External"/><Relationship Id="rId59" Type="http://schemas.openxmlformats.org/officeDocument/2006/relationships/fontTable" Target="fontTable.xml"/><Relationship Id="rId20" Type="http://schemas.openxmlformats.org/officeDocument/2006/relationships/hyperlink" Target="https://eur-lex.europa.eu/legal-content/EN/TXT/HTML/?uri=CELEX:32021D0914&amp;from=PL" TargetMode="External"/><Relationship Id="rId41" Type="http://schemas.openxmlformats.org/officeDocument/2006/relationships/hyperlink" Target="https://eur-lex.europa.eu/legal-content/EN/TXT/HTML/?uri=CELEX:32021D0914&amp;from=PL" TargetMode="External"/><Relationship Id="rId54" Type="http://schemas.openxmlformats.org/officeDocument/2006/relationships/hyperlink" Target="https://eur-lex.europa.eu/legal-content/EN/TXT/HTML/?uri=CELEX:32021D0914&amp;from=PL" TargetMode="External"/><Relationship Id="rId1" Type="http://schemas.openxmlformats.org/officeDocument/2006/relationships/numbering" Target="numbering.xml"/><Relationship Id="rId6" Type="http://schemas.openxmlformats.org/officeDocument/2006/relationships/hyperlink" Target="https://eur-lex.europa.eu/legal-content/EN/TXT/HTML/?uri=CELEX:32021D0914&amp;from=PL" TargetMode="External"/><Relationship Id="rId15" Type="http://schemas.openxmlformats.org/officeDocument/2006/relationships/hyperlink" Target="https://eur-lex.europa.eu/legal-content/EN/TXT/HTML/?uri=CELEX:32021D0914&amp;from=PL" TargetMode="External"/><Relationship Id="rId23" Type="http://schemas.openxmlformats.org/officeDocument/2006/relationships/hyperlink" Target="https://eur-lex.europa.eu/legal-content/EN/AUTO/?uri=OJ:L:2001:181:TOC" TargetMode="External"/><Relationship Id="rId28" Type="http://schemas.openxmlformats.org/officeDocument/2006/relationships/hyperlink" Target="https://eur-lex.europa.eu/legal-content/EN/TXT/HTML/?uri=CELEX:32021D0914&amp;from=PL" TargetMode="External"/><Relationship Id="rId36" Type="http://schemas.openxmlformats.org/officeDocument/2006/relationships/hyperlink" Target="https://eur-lex.europa.eu/legal-content/EN/TXT/HTML/?uri=CELEX:32021D0914&amp;from=PL" TargetMode="External"/><Relationship Id="rId49" Type="http://schemas.openxmlformats.org/officeDocument/2006/relationships/hyperlink" Target="https://eur-lex.europa.eu/legal-content/EN/TXT/HTML/?uri=CELEX:32021D0914&amp;from=PL" TargetMode="External"/><Relationship Id="rId57" Type="http://schemas.openxmlformats.org/officeDocument/2006/relationships/hyperlink" Target="https://eur-lex.europa.eu/legal-content/EN/TXT/HTML/?uri=CELEX:32021D0914&amp;from=PL" TargetMode="External"/><Relationship Id="rId10" Type="http://schemas.openxmlformats.org/officeDocument/2006/relationships/hyperlink" Target="https://eur-lex.europa.eu/legal-content/EN/TXT/HTML/?uri=CELEX:32021D0914&amp;from=PL" TargetMode="External"/><Relationship Id="rId31" Type="http://schemas.openxmlformats.org/officeDocument/2006/relationships/hyperlink" Target="https://eur-lex.europa.eu/legal-content/EN/TXT/HTML/?uri=CELEX:32021D0914&amp;from=PL" TargetMode="External"/><Relationship Id="rId44" Type="http://schemas.openxmlformats.org/officeDocument/2006/relationships/hyperlink" Target="https://eur-lex.europa.eu/legal-content/EN/TXT/HTML/?uri=CELEX:32021D0914&amp;from=PL" TargetMode="External"/><Relationship Id="rId52" Type="http://schemas.openxmlformats.org/officeDocument/2006/relationships/hyperlink" Target="https://eur-lex.europa.eu/legal-content/EN/TXT/HTML/?uri=CELEX:32021D0914&amp;from=PL" TargetMode="External"/><Relationship Id="rId6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16469</Words>
  <Characters>98818</Characters>
  <Application>Microsoft Office Word</Application>
  <DocSecurity>0</DocSecurity>
  <Lines>823</Lines>
  <Paragraphs>230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Minasz</dc:creator>
  <cp:keywords/>
  <dc:description/>
  <cp:lastModifiedBy>Emilia Minasz</cp:lastModifiedBy>
  <cp:revision>1</cp:revision>
  <dcterms:created xsi:type="dcterms:W3CDTF">2021-06-28T11:17:00Z</dcterms:created>
  <dcterms:modified xsi:type="dcterms:W3CDTF">2021-06-28T11:17:00Z</dcterms:modified>
</cp:coreProperties>
</file>