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9466" w14:textId="18459AE5" w:rsidR="007323F0" w:rsidRPr="00C06CDC" w:rsidRDefault="00A11FFA" w:rsidP="00C06CDC">
      <w:pPr>
        <w:jc w:val="center"/>
        <w:rPr>
          <w:rFonts w:ascii="Times New Roman" w:hAnsi="Times New Roman" w:cs="Times New Roman"/>
          <w:b/>
        </w:rPr>
      </w:pPr>
      <w:r w:rsidRPr="00C06CDC">
        <w:rPr>
          <w:rFonts w:ascii="Times New Roman" w:hAnsi="Times New Roman" w:cs="Times New Roman"/>
          <w:b/>
        </w:rPr>
        <w:t xml:space="preserve"> </w:t>
      </w:r>
      <w:r w:rsidR="00BE600E" w:rsidRPr="00C06CDC">
        <w:rPr>
          <w:rFonts w:ascii="Times New Roman" w:hAnsi="Times New Roman" w:cs="Times New Roman"/>
          <w:b/>
        </w:rPr>
        <w:t>K</w:t>
      </w:r>
      <w:r w:rsidRPr="00C06CDC">
        <w:rPr>
          <w:rFonts w:ascii="Times New Roman" w:hAnsi="Times New Roman" w:cs="Times New Roman"/>
          <w:b/>
        </w:rPr>
        <w:t>ierunek Analityka Medyczna</w:t>
      </w:r>
      <w:r w:rsidR="00C508E4" w:rsidRPr="00C06CDC">
        <w:rPr>
          <w:rFonts w:ascii="Times New Roman" w:hAnsi="Times New Roman" w:cs="Times New Roman"/>
          <w:b/>
        </w:rPr>
        <w:t xml:space="preserve"> </w:t>
      </w:r>
      <w:r w:rsidRPr="00C06CDC">
        <w:rPr>
          <w:rFonts w:ascii="Times New Roman" w:hAnsi="Times New Roman" w:cs="Times New Roman"/>
          <w:b/>
        </w:rPr>
        <w:t>–</w:t>
      </w:r>
      <w:r w:rsidR="00C508E4" w:rsidRPr="00C06CDC">
        <w:rPr>
          <w:rFonts w:ascii="Times New Roman" w:hAnsi="Times New Roman" w:cs="Times New Roman"/>
          <w:b/>
        </w:rPr>
        <w:t xml:space="preserve"> pula pytań na egzamin </w:t>
      </w:r>
      <w:r w:rsidR="00606F67">
        <w:rPr>
          <w:rFonts w:ascii="Times New Roman" w:hAnsi="Times New Roman" w:cs="Times New Roman"/>
          <w:b/>
        </w:rPr>
        <w:t xml:space="preserve">dyplomowy: </w:t>
      </w:r>
      <w:bookmarkStart w:id="0" w:name="_GoBack"/>
      <w:bookmarkEnd w:id="0"/>
      <w:r w:rsidR="00C508E4" w:rsidRPr="00C06CDC">
        <w:rPr>
          <w:rFonts w:ascii="Times New Roman" w:hAnsi="Times New Roman" w:cs="Times New Roman"/>
          <w:b/>
        </w:rPr>
        <w:t xml:space="preserve"> </w:t>
      </w:r>
    </w:p>
    <w:p w14:paraId="7E4D034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_Hlk158015711"/>
      <w:r w:rsidRPr="008F178B">
        <w:rPr>
          <w:rFonts w:ascii="Times New Roman" w:eastAsia="Times New Roman" w:hAnsi="Times New Roman" w:cs="Times New Roman"/>
          <w:color w:val="000000"/>
          <w:lang w:eastAsia="pl-PL"/>
        </w:rPr>
        <w:t>Fizykochemiczne metody wyodrębniania i oczyszczania substancji biologicznie aktywnych.</w:t>
      </w:r>
    </w:p>
    <w:bookmarkEnd w:id="1"/>
    <w:p w14:paraId="29168240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color w:val="000000"/>
          <w:lang w:eastAsia="pl-PL"/>
        </w:rPr>
        <w:t>Fizyczne podstawy fluorescencji (luminescencji) i jej wykorzystanie w naukach biomedycznych.</w:t>
      </w:r>
    </w:p>
    <w:p w14:paraId="5F8F9BF4" w14:textId="6910635F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Absorpcyjna Spektrometria Atomowa (ASA) – zasada metody.</w:t>
      </w:r>
    </w:p>
    <w:p w14:paraId="235EBD2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Calibri" w:hAnsi="Times New Roman" w:cs="Times New Roman"/>
        </w:rPr>
        <w:t>Najważniejsze czynniki zewnątrzlaboratoryjne wpływające na wartość diagnostyczną wyniku.</w:t>
      </w:r>
    </w:p>
    <w:p w14:paraId="048B4F06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Zalecenia dla pacjenta przed wykonaniem badania ogólnego moczu.</w:t>
      </w:r>
    </w:p>
    <w:p w14:paraId="6F63421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Calibri" w:hAnsi="Times New Roman" w:cs="Times New Roman"/>
        </w:rPr>
        <w:t>Standaryzacja przygotowania osadu moczu do oceny elementów upostaciowanych metodą manualną, mikroskopową.</w:t>
      </w:r>
    </w:p>
    <w:p w14:paraId="4DEB4CF0" w14:textId="72C746B4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Zasady przygotowania pacjenta i pobierania krwi do badań laboratoryjnych.</w:t>
      </w:r>
    </w:p>
    <w:p w14:paraId="56F3724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Calibri" w:hAnsi="Times New Roman" w:cs="Times New Roman"/>
        </w:rPr>
        <w:t>Wpływ ciąży na wyniki badań laboratoryjnych.</w:t>
      </w:r>
    </w:p>
    <w:p w14:paraId="5473AE29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Działanie i zastosowanie antykoagulantów.</w:t>
      </w:r>
    </w:p>
    <w:p w14:paraId="74ED46B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Wpływ hemolizy </w:t>
      </w:r>
      <w:r w:rsidRPr="008F178B">
        <w:rPr>
          <w:rFonts w:ascii="Times New Roman" w:hAnsi="Times New Roman" w:cs="Times New Roman"/>
          <w:i/>
        </w:rPr>
        <w:t>in vitro</w:t>
      </w:r>
      <w:r w:rsidRPr="008F178B">
        <w:rPr>
          <w:rFonts w:ascii="Times New Roman" w:hAnsi="Times New Roman" w:cs="Times New Roman"/>
        </w:rPr>
        <w:t xml:space="preserve"> na badania laboratoryjne.</w:t>
      </w:r>
    </w:p>
    <w:p w14:paraId="4DBEC2EE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Wpływ diuretyków pętlowych na wyniki badań laboratoryjnych.</w:t>
      </w:r>
    </w:p>
    <w:p w14:paraId="2A49063E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Błędy przedlaboratoryjne wpływające na wynik badania ogólnego i cytologicznego płynu mózgowo-rdzeniowego.</w:t>
      </w:r>
    </w:p>
    <w:p w14:paraId="4E8153EF" w14:textId="602DBF1E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Błędy przedanalityczne występujące podczas oznaczania gazometrii i równowagi kwasowo</w:t>
      </w:r>
      <w:r w:rsidR="00740611" w:rsidRPr="008F178B">
        <w:rPr>
          <w:rFonts w:ascii="Times New Roman" w:hAnsi="Times New Roman" w:cs="Times New Roman"/>
        </w:rPr>
        <w:t xml:space="preserve"> – </w:t>
      </w:r>
      <w:r w:rsidRPr="008F178B">
        <w:rPr>
          <w:rFonts w:ascii="Times New Roman" w:hAnsi="Times New Roman" w:cs="Times New Roman"/>
        </w:rPr>
        <w:t>zasadowej krwi.</w:t>
      </w:r>
    </w:p>
    <w:p w14:paraId="527DE8BE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Ogólne zasady pobierania i transportu materiałów do badań mikrobiologicznych oraz szczegółowo pobieranie i transport moczu, krwi i materiałów ropnych.</w:t>
      </w:r>
    </w:p>
    <w:p w14:paraId="43569099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Kontrola jakości obowiązująca w laboratorium diagnostycznym.</w:t>
      </w:r>
    </w:p>
    <w:p w14:paraId="6AF613AC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Pojęcie „wartość diagnostyczna testu”.</w:t>
      </w:r>
    </w:p>
    <w:p w14:paraId="7D5DA25E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Pojęcie: wartość krytyczna. Przykłady badań laboratoryjnych klasyfikowanych jako parametry krytyczne.</w:t>
      </w:r>
    </w:p>
    <w:p w14:paraId="0C2AFE24" w14:textId="4EEA64B9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  <w:bCs/>
        </w:rPr>
        <w:t xml:space="preserve">Regulacja gospodarki wodno </w:t>
      </w:r>
      <w:r w:rsidR="00765220" w:rsidRPr="008F178B">
        <w:rPr>
          <w:rFonts w:ascii="Times New Roman" w:hAnsi="Times New Roman" w:cs="Times New Roman"/>
          <w:bCs/>
        </w:rPr>
        <w:t>–</w:t>
      </w:r>
      <w:r w:rsidRPr="008F178B">
        <w:rPr>
          <w:rFonts w:ascii="Times New Roman" w:hAnsi="Times New Roman" w:cs="Times New Roman"/>
          <w:bCs/>
        </w:rPr>
        <w:t xml:space="preserve"> elektrolitowej.</w:t>
      </w:r>
    </w:p>
    <w:p w14:paraId="686466A5" w14:textId="7FD1F8FF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  <w:bCs/>
        </w:rPr>
        <w:t>Mechanizmy równowagi kwasowo</w:t>
      </w:r>
      <w:r w:rsidR="00765220" w:rsidRPr="008F178B">
        <w:rPr>
          <w:rFonts w:ascii="Times New Roman" w:hAnsi="Times New Roman" w:cs="Times New Roman"/>
          <w:bCs/>
        </w:rPr>
        <w:t xml:space="preserve"> – </w:t>
      </w:r>
      <w:r w:rsidRPr="008F178B">
        <w:rPr>
          <w:rFonts w:ascii="Times New Roman" w:hAnsi="Times New Roman" w:cs="Times New Roman"/>
          <w:bCs/>
        </w:rPr>
        <w:t>zasadowej.</w:t>
      </w:r>
    </w:p>
    <w:p w14:paraId="6EC2B14A" w14:textId="48A65361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Podział zaburzeń równowagi kwasowo</w:t>
      </w:r>
      <w:r w:rsidR="00765220" w:rsidRPr="008F178B">
        <w:rPr>
          <w:rFonts w:ascii="Times New Roman" w:hAnsi="Times New Roman" w:cs="Times New Roman"/>
        </w:rPr>
        <w:t xml:space="preserve"> – </w:t>
      </w:r>
      <w:r w:rsidRPr="008F178B">
        <w:rPr>
          <w:rFonts w:ascii="Times New Roman" w:hAnsi="Times New Roman" w:cs="Times New Roman"/>
        </w:rPr>
        <w:t>zasadowej.</w:t>
      </w:r>
    </w:p>
    <w:p w14:paraId="3E184C8F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Powstawanie i rozpad ciał ketonowych.</w:t>
      </w:r>
    </w:p>
    <w:p w14:paraId="453DDA59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Definicja kwasicy. Przyczyny kwasicy oddechowej.</w:t>
      </w:r>
    </w:p>
    <w:p w14:paraId="70EE5E59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Metody kinetyczne oznaczania aktywności enzymów.</w:t>
      </w:r>
    </w:p>
    <w:p w14:paraId="03A66A41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Podział enzymów pod kątem przydatności diagnostycznej.</w:t>
      </w:r>
    </w:p>
    <w:p w14:paraId="22470513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Definicja i przykłady izoenzymów.</w:t>
      </w:r>
    </w:p>
    <w:p w14:paraId="199A6BFE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Wpływ homocysteiny na rozwój zmian miażdżycowych.</w:t>
      </w:r>
    </w:p>
    <w:p w14:paraId="76FA23B6" w14:textId="56EDD558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Pożądane wartości stężenia cholesterolu LDL w zależności od ryzyka choroby sercowo</w:t>
      </w:r>
      <w:r w:rsidR="00740611" w:rsidRPr="008F178B">
        <w:rPr>
          <w:rFonts w:ascii="Times New Roman" w:hAnsi="Times New Roman" w:cs="Times New Roman"/>
        </w:rPr>
        <w:t xml:space="preserve"> – </w:t>
      </w:r>
      <w:r w:rsidRPr="008F178B">
        <w:rPr>
          <w:rFonts w:ascii="Times New Roman" w:hAnsi="Times New Roman" w:cs="Times New Roman"/>
        </w:rPr>
        <w:t>naczyniowej.</w:t>
      </w:r>
    </w:p>
    <w:p w14:paraId="7538EE08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Ograniczenia stosowania wzoru Friedewalda do obliczenia stężenia cholesterolu frakcji LDL.</w:t>
      </w:r>
    </w:p>
    <w:p w14:paraId="24109EEC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Laboratoryjne markery zawału mięśnia sercowego.</w:t>
      </w:r>
    </w:p>
    <w:p w14:paraId="2CAD7A82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cukrzycy typu 1.</w:t>
      </w:r>
    </w:p>
    <w:p w14:paraId="16419E9A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cukrzycy typu 2.</w:t>
      </w:r>
    </w:p>
    <w:p w14:paraId="6E6E377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Mechanizmy insulinooporności w cukrzycy typu 2.</w:t>
      </w:r>
    </w:p>
    <w:p w14:paraId="15528894" w14:textId="6621DFA3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Białkomocz przednerkowy </w:t>
      </w:r>
      <w:r w:rsidR="005E5735" w:rsidRPr="008F178B">
        <w:rPr>
          <w:rFonts w:ascii="Times New Roman" w:hAnsi="Times New Roman" w:cs="Times New Roman"/>
        </w:rPr>
        <w:t>–</w:t>
      </w:r>
      <w:r w:rsidRPr="008F178B">
        <w:rPr>
          <w:rFonts w:ascii="Times New Roman" w:hAnsi="Times New Roman" w:cs="Times New Roman"/>
        </w:rPr>
        <w:t xml:space="preserve"> mechanizm, przyczyny, białka charakterystyczne dla tego rodzaju białkomoczu.</w:t>
      </w:r>
    </w:p>
    <w:p w14:paraId="1A4E6006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Klirens kreatyniny i metody jego określania.</w:t>
      </w:r>
    </w:p>
    <w:p w14:paraId="183E9351" w14:textId="58B879ED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Parametry fizykochemiczne oraz elementy upostaciowane moczu wspomagające diagnostykę kłębuszkowego zapalenia nerek.</w:t>
      </w:r>
      <w:bookmarkStart w:id="2" w:name="_Hlk158015756"/>
    </w:p>
    <w:bookmarkEnd w:id="2"/>
    <w:p w14:paraId="33A65774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Mechanizmy transportu aminokwasów przez błony komórkowe. </w:t>
      </w:r>
    </w:p>
    <w:p w14:paraId="0F75CC7E" w14:textId="750FFD26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Definicja żółtaczki i różnicowanie żółtaczek</w:t>
      </w:r>
      <w:r w:rsidR="00E44345" w:rsidRPr="008F178B">
        <w:rPr>
          <w:rFonts w:ascii="Times New Roman" w:hAnsi="Times New Roman" w:cs="Times New Roman"/>
        </w:rPr>
        <w:t>.</w:t>
      </w:r>
    </w:p>
    <w:p w14:paraId="3532BEF6" w14:textId="016F8BA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przewlekłego zapalenia trzustki</w:t>
      </w:r>
      <w:r w:rsidR="00E44345" w:rsidRPr="008F178B">
        <w:rPr>
          <w:rFonts w:ascii="Times New Roman" w:hAnsi="Times New Roman" w:cs="Times New Roman"/>
        </w:rPr>
        <w:t>.</w:t>
      </w:r>
    </w:p>
    <w:p w14:paraId="76D4BE41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Zespół metaboliczny i kryteria diagnostyczne.</w:t>
      </w:r>
    </w:p>
    <w:p w14:paraId="5A93AA1D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Etiologia i podział zapaleń.</w:t>
      </w:r>
    </w:p>
    <w:p w14:paraId="6DF206F4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Parametry fizyczne i biochemiczne różnicujące przesięki i wysięki.</w:t>
      </w:r>
    </w:p>
    <w:p w14:paraId="7901B879" w14:textId="108509F9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Płyny z jam ciała </w:t>
      </w:r>
      <w:r w:rsidR="00376153" w:rsidRPr="008F178B">
        <w:rPr>
          <w:rFonts w:ascii="Times New Roman" w:hAnsi="Times New Roman" w:cs="Times New Roman"/>
        </w:rPr>
        <w:t>–</w:t>
      </w:r>
      <w:r w:rsidRPr="008F178B">
        <w:rPr>
          <w:rFonts w:ascii="Times New Roman" w:hAnsi="Times New Roman" w:cs="Times New Roman"/>
        </w:rPr>
        <w:t xml:space="preserve"> podział i skład komórkowy.</w:t>
      </w:r>
    </w:p>
    <w:p w14:paraId="520EE122" w14:textId="2D7ACF83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Przydatność badania płynu mózgowo</w:t>
      </w:r>
      <w:r w:rsidR="00376153" w:rsidRPr="008F178B">
        <w:rPr>
          <w:rFonts w:ascii="Times New Roman" w:hAnsi="Times New Roman" w:cs="Times New Roman"/>
        </w:rPr>
        <w:t xml:space="preserve"> – </w:t>
      </w:r>
      <w:r w:rsidRPr="008F178B">
        <w:rPr>
          <w:rFonts w:ascii="Times New Roman" w:hAnsi="Times New Roman" w:cs="Times New Roman"/>
        </w:rPr>
        <w:t>rdzeniowego w diagnostyce różnicowej zapalenia opon mózgowo</w:t>
      </w:r>
      <w:r w:rsidR="00376153" w:rsidRPr="008F178B">
        <w:rPr>
          <w:rFonts w:ascii="Times New Roman" w:hAnsi="Times New Roman" w:cs="Times New Roman"/>
        </w:rPr>
        <w:t xml:space="preserve"> – </w:t>
      </w:r>
      <w:r w:rsidRPr="008F178B">
        <w:rPr>
          <w:rFonts w:ascii="Times New Roman" w:hAnsi="Times New Roman" w:cs="Times New Roman"/>
        </w:rPr>
        <w:t>rdzeniowych.</w:t>
      </w:r>
    </w:p>
    <w:p w14:paraId="1FDFB3D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  <w:bCs/>
        </w:rPr>
        <w:t>Regulacje wydzielania hormonów.</w:t>
      </w:r>
    </w:p>
    <w:p w14:paraId="6402F474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Metody oznaczania hormonów.</w:t>
      </w:r>
    </w:p>
    <w:p w14:paraId="6068EC91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Definicja subklinicznych zaburzeń gruczołu tarczowego i profil badań laboratoryjnych.</w:t>
      </w:r>
    </w:p>
    <w:p w14:paraId="34485C21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lastRenderedPageBreak/>
        <w:t>Laboratoryjna ocena funkcji tarczycy u dzieci.</w:t>
      </w:r>
    </w:p>
    <w:p w14:paraId="57033594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Laboratoryjna diagnostyka zaburzeń wydzielania hormonu wzrostu u dzieci. </w:t>
      </w:r>
    </w:p>
    <w:p w14:paraId="312B5592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Obraz kliniczny chorób zakaźnych najczęściej występujących u dzieci.</w:t>
      </w:r>
    </w:p>
    <w:p w14:paraId="667E7D9B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celiakii.</w:t>
      </w:r>
    </w:p>
    <w:p w14:paraId="1DA58CA9" w14:textId="1821449E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Mukowiscydoza. Metody diagnostyczne</w:t>
      </w:r>
      <w:r w:rsidR="00DD7625" w:rsidRPr="008F178B">
        <w:rPr>
          <w:rFonts w:ascii="Times New Roman" w:hAnsi="Times New Roman" w:cs="Times New Roman"/>
        </w:rPr>
        <w:t>.</w:t>
      </w:r>
    </w:p>
    <w:p w14:paraId="7311F1B4" w14:textId="3D108070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Badania przesiewowe wykonywane u noworodków.</w:t>
      </w:r>
    </w:p>
    <w:p w14:paraId="12727D1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Ocena wielkości erytrocytów w praktyce laboratoryjnej. </w:t>
      </w:r>
    </w:p>
    <w:p w14:paraId="4D353751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Błędy metody automatycznej przy oznaczeniu liczby płytek krwi.</w:t>
      </w:r>
    </w:p>
    <w:p w14:paraId="0D97EA1B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Wpływ przewlekłego stanu zapalnego na wynik morfologii krwi.</w:t>
      </w:r>
    </w:p>
    <w:p w14:paraId="17FCD2D2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niedokrwistości z niedoboru żelaza.</w:t>
      </w:r>
    </w:p>
    <w:p w14:paraId="593080EE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niedokrwistości megaloblastycznych.</w:t>
      </w:r>
    </w:p>
    <w:p w14:paraId="34CEFE9B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niedokrwistości hemolitycznych.</w:t>
      </w:r>
    </w:p>
    <w:p w14:paraId="040A597A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Badania laboratoryjne przydatne w różnicowaniu zespołów mieloproliferacyjnych.</w:t>
      </w:r>
    </w:p>
    <w:p w14:paraId="1C1756A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Wskazania do wykonania badań cytometrycznych.</w:t>
      </w:r>
    </w:p>
    <w:p w14:paraId="4663A9B2" w14:textId="2D5A5BA8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Białaczki ostre</w:t>
      </w:r>
      <w:r w:rsidR="00E85327" w:rsidRPr="008F178B">
        <w:rPr>
          <w:rFonts w:ascii="Times New Roman" w:hAnsi="Times New Roman" w:cs="Times New Roman"/>
        </w:rPr>
        <w:t xml:space="preserve"> –</w:t>
      </w:r>
      <w:r w:rsidRPr="008F178B">
        <w:rPr>
          <w:rFonts w:ascii="Times New Roman" w:hAnsi="Times New Roman" w:cs="Times New Roman"/>
        </w:rPr>
        <w:t xml:space="preserve"> diagnostyka i różnicowanie.</w:t>
      </w:r>
    </w:p>
    <w:p w14:paraId="7871DC84" w14:textId="17F27E0B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Przewlekła białaczka limfocytowa</w:t>
      </w:r>
      <w:r w:rsidR="008E4740" w:rsidRPr="008F178B">
        <w:rPr>
          <w:rFonts w:ascii="Times New Roman" w:hAnsi="Times New Roman" w:cs="Times New Roman"/>
        </w:rPr>
        <w:t xml:space="preserve"> –</w:t>
      </w:r>
      <w:r w:rsidRPr="008F178B">
        <w:rPr>
          <w:rFonts w:ascii="Times New Roman" w:hAnsi="Times New Roman" w:cs="Times New Roman"/>
        </w:rPr>
        <w:t xml:space="preserve"> diagnostyka i różnicowanie.</w:t>
      </w:r>
    </w:p>
    <w:p w14:paraId="43259F6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Metody diagnostyczne wykorzystywane w wykrywaniu gammapatii monoklonalnych.</w:t>
      </w:r>
    </w:p>
    <w:p w14:paraId="1560F80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Rodzaje skaz krwotocznych i objawy, które wskazują na występowanie skazy krwotocznej.</w:t>
      </w:r>
    </w:p>
    <w:p w14:paraId="4417F491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  <w:bCs/>
        </w:rPr>
        <w:t>Badania przesiewowe w diagnostyce hemostazy.</w:t>
      </w:r>
    </w:p>
    <w:p w14:paraId="660E3837" w14:textId="410CF61F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bookmarkStart w:id="3" w:name="_Hlk158016369"/>
      <w:r w:rsidRPr="008F178B">
        <w:rPr>
          <w:rFonts w:ascii="Times New Roman" w:hAnsi="Times New Roman" w:cs="Times New Roman"/>
        </w:rPr>
        <w:t xml:space="preserve">Badania laboratoryjne przydatne w diagnostyce </w:t>
      </w:r>
      <w:r w:rsidR="00A177BF" w:rsidRPr="008F178B">
        <w:rPr>
          <w:rFonts w:ascii="Times New Roman" w:hAnsi="Times New Roman" w:cs="Times New Roman"/>
        </w:rPr>
        <w:t xml:space="preserve">różnicowej wrodzonej i nabytej </w:t>
      </w:r>
      <w:r w:rsidRPr="008F178B">
        <w:rPr>
          <w:rFonts w:ascii="Times New Roman" w:hAnsi="Times New Roman" w:cs="Times New Roman"/>
        </w:rPr>
        <w:t>hemofilii</w:t>
      </w:r>
      <w:r w:rsidR="00A177BF" w:rsidRPr="008F178B">
        <w:rPr>
          <w:rFonts w:ascii="Times New Roman" w:hAnsi="Times New Roman" w:cs="Times New Roman"/>
        </w:rPr>
        <w:t xml:space="preserve"> A.</w:t>
      </w:r>
    </w:p>
    <w:bookmarkEnd w:id="3"/>
    <w:p w14:paraId="4A8F7224" w14:textId="7692711B" w:rsidR="00442A4E" w:rsidRPr="008F178B" w:rsidRDefault="005F593D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Laboratoryjna diagnostyka DIC</w:t>
      </w:r>
      <w:r w:rsidR="00B64F9D" w:rsidRPr="008F178B">
        <w:rPr>
          <w:rFonts w:ascii="Times New Roman" w:hAnsi="Times New Roman" w:cs="Times New Roman"/>
        </w:rPr>
        <w:t>.</w:t>
      </w:r>
    </w:p>
    <w:p w14:paraId="7C1AB8F3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trombofilii.</w:t>
      </w:r>
    </w:p>
    <w:p w14:paraId="2836355E" w14:textId="0F9265F6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Antygeny i przeciwciała układu AB</w:t>
      </w:r>
      <w:r w:rsidR="00CC2910" w:rsidRPr="008F178B">
        <w:rPr>
          <w:rFonts w:ascii="Times New Roman" w:hAnsi="Times New Roman" w:cs="Times New Roman"/>
        </w:rPr>
        <w:t>O</w:t>
      </w:r>
      <w:r w:rsidRPr="008F178B">
        <w:rPr>
          <w:rFonts w:ascii="Times New Roman" w:hAnsi="Times New Roman" w:cs="Times New Roman"/>
        </w:rPr>
        <w:t xml:space="preserve">. </w:t>
      </w:r>
    </w:p>
    <w:p w14:paraId="42AA30FD" w14:textId="0CA13ED3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Charakterystyka grupy krwi B </w:t>
      </w:r>
      <w:proofErr w:type="spellStart"/>
      <w:proofErr w:type="gramStart"/>
      <w:r w:rsidRPr="008F178B">
        <w:rPr>
          <w:rFonts w:ascii="Times New Roman" w:hAnsi="Times New Roman" w:cs="Times New Roman"/>
        </w:rPr>
        <w:t>RhD</w:t>
      </w:r>
      <w:proofErr w:type="spellEnd"/>
      <w:r w:rsidRPr="008F178B">
        <w:rPr>
          <w:rFonts w:ascii="Times New Roman" w:hAnsi="Times New Roman" w:cs="Times New Roman"/>
        </w:rPr>
        <w:t>(</w:t>
      </w:r>
      <w:proofErr w:type="gramEnd"/>
      <w:r w:rsidRPr="008F178B">
        <w:rPr>
          <w:rFonts w:ascii="Times New Roman" w:hAnsi="Times New Roman" w:cs="Times New Roman"/>
        </w:rPr>
        <w:t xml:space="preserve">+) </w:t>
      </w:r>
      <w:r w:rsidR="0095328F" w:rsidRPr="008F178B">
        <w:rPr>
          <w:rFonts w:ascii="Times New Roman" w:hAnsi="Times New Roman" w:cs="Times New Roman"/>
        </w:rPr>
        <w:t>–</w:t>
      </w:r>
      <w:r w:rsidRPr="008F178B">
        <w:rPr>
          <w:rFonts w:ascii="Times New Roman" w:hAnsi="Times New Roman" w:cs="Times New Roman"/>
        </w:rPr>
        <w:t xml:space="preserve"> antygeny i przeciwciała.</w:t>
      </w:r>
    </w:p>
    <w:p w14:paraId="16262B96" w14:textId="28C8C119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Test BTA i PTA </w:t>
      </w:r>
      <w:r w:rsidR="00CC2910" w:rsidRPr="008F178B">
        <w:rPr>
          <w:rFonts w:ascii="Times New Roman" w:hAnsi="Times New Roman" w:cs="Times New Roman"/>
        </w:rPr>
        <w:t>–</w:t>
      </w:r>
      <w:r w:rsidRPr="008F178B">
        <w:rPr>
          <w:rFonts w:ascii="Times New Roman" w:hAnsi="Times New Roman" w:cs="Times New Roman"/>
        </w:rPr>
        <w:t xml:space="preserve"> zastosowanie.</w:t>
      </w:r>
    </w:p>
    <w:p w14:paraId="5162CC8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Wskazania do wykonania próby zgodności serologicznej oraz badania obejmujące jej wykonanie.</w:t>
      </w:r>
    </w:p>
    <w:p w14:paraId="564CD88A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  <w:lang w:eastAsia="pl-PL"/>
        </w:rPr>
        <w:t>Etapy techniki parafinowej sporządzania preparatów histologicznych.</w:t>
      </w:r>
    </w:p>
    <w:p w14:paraId="5D1C183F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Metody oceny zmian morfologicznych w patomorfologii.</w:t>
      </w:r>
    </w:p>
    <w:p w14:paraId="19DB1B3B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Pojęcia: metaplazja, rozrost, dysplazja, nowotwór, anaplazja.</w:t>
      </w:r>
    </w:p>
    <w:p w14:paraId="05B060F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chorób nowotworowych.</w:t>
      </w:r>
    </w:p>
    <w:p w14:paraId="5A844529" w14:textId="4B76FC8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 xml:space="preserve">BAC </w:t>
      </w:r>
      <w:r w:rsidR="00CC2910" w:rsidRPr="008F178B">
        <w:rPr>
          <w:rFonts w:ascii="Times New Roman" w:eastAsia="Times New Roman" w:hAnsi="Times New Roman" w:cs="Times New Roman"/>
          <w:lang w:eastAsia="pl-PL"/>
        </w:rPr>
        <w:t>–</w:t>
      </w:r>
      <w:r w:rsidRPr="008F178B">
        <w:rPr>
          <w:rFonts w:ascii="Times New Roman" w:eastAsia="Times New Roman" w:hAnsi="Times New Roman" w:cs="Times New Roman"/>
          <w:lang w:eastAsia="pl-PL"/>
        </w:rPr>
        <w:t xml:space="preserve"> biopsja aspiracyjna cienkoigłowa </w:t>
      </w:r>
      <w:r w:rsidR="00CC2910" w:rsidRPr="008F178B">
        <w:rPr>
          <w:rFonts w:ascii="Times New Roman" w:eastAsia="Times New Roman" w:hAnsi="Times New Roman" w:cs="Times New Roman"/>
          <w:lang w:eastAsia="pl-PL"/>
        </w:rPr>
        <w:t>–</w:t>
      </w:r>
      <w:r w:rsidRPr="008F178B">
        <w:rPr>
          <w:rFonts w:ascii="Times New Roman" w:eastAsia="Times New Roman" w:hAnsi="Times New Roman" w:cs="Times New Roman"/>
          <w:lang w:eastAsia="pl-PL"/>
        </w:rPr>
        <w:t xml:space="preserve"> zastosowanie i zalety.</w:t>
      </w:r>
    </w:p>
    <w:p w14:paraId="1F5E0B8A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System Bethesda oceny preparatów stosowany w cytologii ginekologicznej.</w:t>
      </w:r>
    </w:p>
    <w:p w14:paraId="75ED7835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eastAsia="Times New Roman" w:hAnsi="Times New Roman" w:cs="Times New Roman"/>
          <w:lang w:eastAsia="pl-PL"/>
        </w:rPr>
        <w:t>Cytologiczne cechy złośliwości komórek nowotworowych.</w:t>
      </w:r>
    </w:p>
    <w:p w14:paraId="3229899B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alergii.</w:t>
      </w:r>
    </w:p>
    <w:p w14:paraId="7E90DEFD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Diagnostyka laboratoryjna malarii.</w:t>
      </w:r>
    </w:p>
    <w:p w14:paraId="16C78E64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Choroby wywołane przez pierwotniaki powszechnie występujące. Diagnostyka lambliozy.</w:t>
      </w:r>
    </w:p>
    <w:p w14:paraId="00AE5D30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Diagnostyka filarioz. </w:t>
      </w:r>
    </w:p>
    <w:p w14:paraId="3C399929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Toksoplazmoza: objawy kliniczne toksoplazmozy wrodzonej i nabytej, drogi i formy zarażenia, diagnostyka laboratoryjna. </w:t>
      </w:r>
    </w:p>
    <w:p w14:paraId="08B57F82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Gatunki tasiemców, drogi zarażenia, identyfikacja jaj. </w:t>
      </w:r>
    </w:p>
    <w:p w14:paraId="35E9535A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Metody stosowane w identyfikacji jaj przywr rozdzielnopłciowych (schistosomy).</w:t>
      </w:r>
    </w:p>
    <w:p w14:paraId="532F7537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Podłoża bakteriologiczne i ich zastosowanie w diagnostyce mikrobiologicznej.</w:t>
      </w:r>
    </w:p>
    <w:p w14:paraId="5EB0B0CC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Metody barwienia preparatów i ich znaczenie w diagnostyce mikrobiologicznej.</w:t>
      </w:r>
    </w:p>
    <w:p w14:paraId="3B7B5894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 xml:space="preserve">Charakterystyka i chorobotwórczość bakterii z rodzaju </w:t>
      </w:r>
      <w:r w:rsidRPr="008F178B">
        <w:rPr>
          <w:rFonts w:ascii="Times New Roman" w:hAnsi="Times New Roman" w:cs="Times New Roman"/>
          <w:i/>
        </w:rPr>
        <w:t>Staphylococcus</w:t>
      </w:r>
      <w:r w:rsidRPr="008F178B">
        <w:rPr>
          <w:rFonts w:ascii="Times New Roman" w:hAnsi="Times New Roman" w:cs="Times New Roman"/>
        </w:rPr>
        <w:t>.</w:t>
      </w:r>
    </w:p>
    <w:p w14:paraId="0601F0C6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Kryteria diagnostyczne przewlekłego zakażenia wirusem HBV.</w:t>
      </w:r>
    </w:p>
    <w:p w14:paraId="137E8897" w14:textId="5E47B6BE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Grzyby jako czynniki etiologiczne zakażeń u ludzi. Zasady ich diagnozowania.</w:t>
      </w:r>
    </w:p>
    <w:p w14:paraId="784AC638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Zasady diagnostyki mikrobiologicznej zakażeń układu moczowego.</w:t>
      </w:r>
    </w:p>
    <w:p w14:paraId="67A3497A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Zasady diagnostyki mikrobiologicznej zakażeń ośrodkowego układu nerwowego.</w:t>
      </w:r>
    </w:p>
    <w:p w14:paraId="7E46C62D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Sterylizacja – metody oraz kontrola procesu sterylizacji.</w:t>
      </w:r>
    </w:p>
    <w:p w14:paraId="7C2DAC06" w14:textId="77777777" w:rsidR="00442A4E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Zasady pobierania materiału biologicznego do badań toksykologicznych, jego transportu, przechowywania i przygotowania do analizy.</w:t>
      </w:r>
    </w:p>
    <w:p w14:paraId="1DE3FAA7" w14:textId="6E7D3342" w:rsidR="000E4C52" w:rsidRPr="008F178B" w:rsidRDefault="00442A4E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Rodzaje i znaczenie badań laboratoryjnych w toksykologii klinicznej.</w:t>
      </w:r>
    </w:p>
    <w:p w14:paraId="4D1B37B8" w14:textId="77777777" w:rsidR="000A20CC" w:rsidRPr="008F178B" w:rsidRDefault="000A20CC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Testy wykorzystywane w immunodiagnostyce niedoborów odporności komórkowej.</w:t>
      </w:r>
    </w:p>
    <w:p w14:paraId="5FA9F57C" w14:textId="7696F681" w:rsidR="000A20CC" w:rsidRPr="008F178B" w:rsidRDefault="000A20CC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lastRenderedPageBreak/>
        <w:t>Testy wykorzystywane w immunodiagnostyce niedoborów odporności humoralnej.</w:t>
      </w:r>
    </w:p>
    <w:p w14:paraId="187BA5E2" w14:textId="56053567" w:rsidR="008F178B" w:rsidRPr="008F178B" w:rsidRDefault="008F178B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Wyjaśnij pojęcie mutacji somatycznej (A) i mutacji germinalnej (B) – dlaczego warto je badać, jaki materiał do badań jest najbardziej właściwy?</w:t>
      </w:r>
    </w:p>
    <w:p w14:paraId="0CA0A74E" w14:textId="380978E1" w:rsidR="0055110C" w:rsidRPr="008F178B" w:rsidRDefault="008F178B" w:rsidP="008F178B">
      <w:pPr>
        <w:pStyle w:val="Akapitzlist"/>
        <w:numPr>
          <w:ilvl w:val="0"/>
          <w:numId w:val="16"/>
        </w:numPr>
        <w:spacing w:after="0"/>
        <w:ind w:left="-142" w:right="-709" w:hanging="425"/>
        <w:jc w:val="both"/>
        <w:rPr>
          <w:rFonts w:ascii="Times New Roman" w:hAnsi="Times New Roman" w:cs="Times New Roman"/>
        </w:rPr>
      </w:pPr>
      <w:r w:rsidRPr="008F178B">
        <w:rPr>
          <w:rFonts w:ascii="Times New Roman" w:hAnsi="Times New Roman" w:cs="Times New Roman"/>
        </w:rPr>
        <w:t>Podział aberracji chromosomowych; co to są translokacje chromosomowe wzajemne – konsekwencje kliniczne ich nosicielstwa.</w:t>
      </w:r>
    </w:p>
    <w:sectPr w:rsidR="0055110C" w:rsidRPr="008F178B" w:rsidSect="00C06CDC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0A64"/>
    <w:multiLevelType w:val="multilevel"/>
    <w:tmpl w:val="B0FE7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251D5"/>
    <w:multiLevelType w:val="hybridMultilevel"/>
    <w:tmpl w:val="1046CFF8"/>
    <w:lvl w:ilvl="0" w:tplc="1980C2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8662B"/>
    <w:multiLevelType w:val="hybridMultilevel"/>
    <w:tmpl w:val="DC90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4295"/>
    <w:multiLevelType w:val="hybridMultilevel"/>
    <w:tmpl w:val="DC900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6B24"/>
    <w:multiLevelType w:val="hybridMultilevel"/>
    <w:tmpl w:val="E090993A"/>
    <w:lvl w:ilvl="0" w:tplc="7F6A83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6625A7"/>
    <w:multiLevelType w:val="hybridMultilevel"/>
    <w:tmpl w:val="A2EEFFF0"/>
    <w:lvl w:ilvl="0" w:tplc="57441DA8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A7946E0"/>
    <w:multiLevelType w:val="hybridMultilevel"/>
    <w:tmpl w:val="F2006B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C2AFA"/>
    <w:multiLevelType w:val="hybridMultilevel"/>
    <w:tmpl w:val="0666B06A"/>
    <w:lvl w:ilvl="0" w:tplc="DC10E4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F2892"/>
    <w:multiLevelType w:val="hybridMultilevel"/>
    <w:tmpl w:val="2A3C9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C580A"/>
    <w:multiLevelType w:val="multilevel"/>
    <w:tmpl w:val="5E00910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BD5294F"/>
    <w:multiLevelType w:val="hybridMultilevel"/>
    <w:tmpl w:val="5590E844"/>
    <w:lvl w:ilvl="0" w:tplc="87B8408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347A"/>
    <w:multiLevelType w:val="hybridMultilevel"/>
    <w:tmpl w:val="2C3EC43E"/>
    <w:lvl w:ilvl="0" w:tplc="54849E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46A3"/>
    <w:multiLevelType w:val="hybridMultilevel"/>
    <w:tmpl w:val="79B0BABC"/>
    <w:lvl w:ilvl="0" w:tplc="A6CC6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A2934"/>
    <w:multiLevelType w:val="hybridMultilevel"/>
    <w:tmpl w:val="193A21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F37F52"/>
    <w:multiLevelType w:val="hybridMultilevel"/>
    <w:tmpl w:val="13DAF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D2239"/>
    <w:multiLevelType w:val="hybridMultilevel"/>
    <w:tmpl w:val="0684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C04FC"/>
    <w:multiLevelType w:val="hybridMultilevel"/>
    <w:tmpl w:val="D77AF5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17077A"/>
    <w:multiLevelType w:val="hybridMultilevel"/>
    <w:tmpl w:val="46FED0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37212"/>
    <w:multiLevelType w:val="hybridMultilevel"/>
    <w:tmpl w:val="BFB8ADD0"/>
    <w:lvl w:ilvl="0" w:tplc="3E12C3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BC007F"/>
    <w:multiLevelType w:val="hybridMultilevel"/>
    <w:tmpl w:val="DA823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86F58"/>
    <w:multiLevelType w:val="hybridMultilevel"/>
    <w:tmpl w:val="B8AC1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0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4"/>
  </w:num>
  <w:num w:numId="17">
    <w:abstractNumId w:val="15"/>
  </w:num>
  <w:num w:numId="18">
    <w:abstractNumId w:val="16"/>
  </w:num>
  <w:num w:numId="19">
    <w:abstractNumId w:val="19"/>
  </w:num>
  <w:num w:numId="20">
    <w:abstractNumId w:val="17"/>
  </w:num>
  <w:num w:numId="21">
    <w:abstractNumId w:val="18"/>
  </w:num>
  <w:num w:numId="22">
    <w:abstractNumId w:val="6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6E"/>
    <w:rsid w:val="000341CE"/>
    <w:rsid w:val="000669A4"/>
    <w:rsid w:val="000846B6"/>
    <w:rsid w:val="000922AF"/>
    <w:rsid w:val="000A20CC"/>
    <w:rsid w:val="000E4C52"/>
    <w:rsid w:val="001531D1"/>
    <w:rsid w:val="0024156F"/>
    <w:rsid w:val="00273CF3"/>
    <w:rsid w:val="002A77A6"/>
    <w:rsid w:val="00367F76"/>
    <w:rsid w:val="00376153"/>
    <w:rsid w:val="00377665"/>
    <w:rsid w:val="003B090C"/>
    <w:rsid w:val="003D6D85"/>
    <w:rsid w:val="003E567E"/>
    <w:rsid w:val="0043583D"/>
    <w:rsid w:val="00442A4E"/>
    <w:rsid w:val="004C0793"/>
    <w:rsid w:val="004D6620"/>
    <w:rsid w:val="004F304A"/>
    <w:rsid w:val="00532060"/>
    <w:rsid w:val="0055110C"/>
    <w:rsid w:val="00551B48"/>
    <w:rsid w:val="00595C66"/>
    <w:rsid w:val="00597059"/>
    <w:rsid w:val="005B189C"/>
    <w:rsid w:val="005B1B79"/>
    <w:rsid w:val="005E5735"/>
    <w:rsid w:val="005F593D"/>
    <w:rsid w:val="00606F67"/>
    <w:rsid w:val="006224D6"/>
    <w:rsid w:val="00625461"/>
    <w:rsid w:val="006B1626"/>
    <w:rsid w:val="006C0B77"/>
    <w:rsid w:val="0072534C"/>
    <w:rsid w:val="007323F0"/>
    <w:rsid w:val="00740611"/>
    <w:rsid w:val="00752B86"/>
    <w:rsid w:val="00757237"/>
    <w:rsid w:val="00765220"/>
    <w:rsid w:val="00796CD5"/>
    <w:rsid w:val="007C3016"/>
    <w:rsid w:val="007C5063"/>
    <w:rsid w:val="008056CD"/>
    <w:rsid w:val="00805AD2"/>
    <w:rsid w:val="008473E9"/>
    <w:rsid w:val="00851970"/>
    <w:rsid w:val="00852CAA"/>
    <w:rsid w:val="00865F4B"/>
    <w:rsid w:val="008A29F3"/>
    <w:rsid w:val="008A6F6E"/>
    <w:rsid w:val="008E4740"/>
    <w:rsid w:val="008F178B"/>
    <w:rsid w:val="00900A48"/>
    <w:rsid w:val="00907F06"/>
    <w:rsid w:val="0095328F"/>
    <w:rsid w:val="00970F06"/>
    <w:rsid w:val="009A080C"/>
    <w:rsid w:val="009A0CCF"/>
    <w:rsid w:val="00A018F9"/>
    <w:rsid w:val="00A04A87"/>
    <w:rsid w:val="00A11FFA"/>
    <w:rsid w:val="00A177BF"/>
    <w:rsid w:val="00A50CE1"/>
    <w:rsid w:val="00A52DEE"/>
    <w:rsid w:val="00A77E9D"/>
    <w:rsid w:val="00A854A1"/>
    <w:rsid w:val="00B24329"/>
    <w:rsid w:val="00B43E2D"/>
    <w:rsid w:val="00B64F9D"/>
    <w:rsid w:val="00B95422"/>
    <w:rsid w:val="00BA4A53"/>
    <w:rsid w:val="00BC0C4B"/>
    <w:rsid w:val="00BC1A64"/>
    <w:rsid w:val="00BC5F09"/>
    <w:rsid w:val="00BE600E"/>
    <w:rsid w:val="00C06CDC"/>
    <w:rsid w:val="00C43407"/>
    <w:rsid w:val="00C508E4"/>
    <w:rsid w:val="00CB3891"/>
    <w:rsid w:val="00CB6E20"/>
    <w:rsid w:val="00CC2910"/>
    <w:rsid w:val="00D30AF1"/>
    <w:rsid w:val="00D8350C"/>
    <w:rsid w:val="00DB4AA9"/>
    <w:rsid w:val="00DC069C"/>
    <w:rsid w:val="00DC6BAF"/>
    <w:rsid w:val="00DD2593"/>
    <w:rsid w:val="00DD7625"/>
    <w:rsid w:val="00E145F5"/>
    <w:rsid w:val="00E44345"/>
    <w:rsid w:val="00E57BC9"/>
    <w:rsid w:val="00E67D6B"/>
    <w:rsid w:val="00E71566"/>
    <w:rsid w:val="00E85327"/>
    <w:rsid w:val="00EC29CF"/>
    <w:rsid w:val="00EC7677"/>
    <w:rsid w:val="00EF2425"/>
    <w:rsid w:val="00F12016"/>
    <w:rsid w:val="00F16E17"/>
    <w:rsid w:val="00F244E9"/>
    <w:rsid w:val="00FA48B1"/>
    <w:rsid w:val="00FB3981"/>
    <w:rsid w:val="00FC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BF18"/>
  <w15:docId w15:val="{34D677F8-5B30-4B34-8A09-8F8B3C48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23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3F0"/>
    <w:pPr>
      <w:ind w:left="720"/>
      <w:contextualSpacing/>
    </w:pPr>
  </w:style>
  <w:style w:type="paragraph" w:styleId="Bezodstpw">
    <w:name w:val="No Spacing"/>
    <w:qFormat/>
    <w:rsid w:val="00CB6E20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numbering" w:customStyle="1" w:styleId="WWNum1">
    <w:name w:val="WWNum1"/>
    <w:rsid w:val="00CB6E20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24156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24156F"/>
    <w:rPr>
      <w:b/>
      <w:bCs/>
    </w:rPr>
  </w:style>
  <w:style w:type="character" w:styleId="Uwydatnienie">
    <w:name w:val="Emphasis"/>
    <w:basedOn w:val="Domylnaczcionkaakapitu"/>
    <w:uiPriority w:val="20"/>
    <w:qFormat/>
    <w:rsid w:val="002415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Ewa Kropiwnicka</cp:lastModifiedBy>
  <cp:revision>11</cp:revision>
  <cp:lastPrinted>2024-02-01T07:48:00Z</cp:lastPrinted>
  <dcterms:created xsi:type="dcterms:W3CDTF">2024-02-05T08:47:00Z</dcterms:created>
  <dcterms:modified xsi:type="dcterms:W3CDTF">2025-02-17T10:30:00Z</dcterms:modified>
</cp:coreProperties>
</file>