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A" w:rsidRPr="00C14402" w:rsidRDefault="000230EA" w:rsidP="000230EA">
      <w:pPr>
        <w:pStyle w:val="Tytu"/>
        <w:jc w:val="center"/>
        <w:rPr>
          <w:b/>
          <w:color w:val="auto"/>
          <w:sz w:val="44"/>
          <w:szCs w:val="44"/>
        </w:rPr>
      </w:pPr>
      <w:r w:rsidRPr="00C14402">
        <w:rPr>
          <w:b/>
          <w:color w:val="auto"/>
          <w:sz w:val="44"/>
          <w:szCs w:val="44"/>
        </w:rPr>
        <w:t>Renata Pawlak-Morka</w:t>
      </w:r>
    </w:p>
    <w:p w:rsidR="000230EA" w:rsidRDefault="000230EA" w:rsidP="000230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0EA" w:rsidRDefault="000230EA" w:rsidP="000230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EA87376" wp14:editId="4F625A32">
            <wp:extent cx="4445620" cy="814736"/>
            <wp:effectExtent l="0" t="0" r="0" b="4445"/>
            <wp:docPr id="24669" name="Obraz 24669" descr="http://www.umb.edu.pl/photo/image/logo_uczelni/wydzial_farmaceutyczny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mb.edu.pl/photo/image/logo_uczelni/wydzial_farmaceutyczny_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16" cy="81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30EA" w:rsidRPr="00C14402" w:rsidRDefault="000230EA" w:rsidP="000230E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WPŁYW STRUKTURY </w:t>
      </w:r>
      <w:r w:rsidRPr="00C14402">
        <w:rPr>
          <w:rFonts w:ascii="Times New Roman" w:hAnsi="Times New Roman" w:cs="Times New Roman"/>
          <w:b/>
          <w:sz w:val="44"/>
          <w:szCs w:val="44"/>
        </w:rPr>
        <w:t>JEDNOŁAŃCUCHOWEGO PREKURSORA INSULINY NA PROCES WYTWARZANIA REKOMBINOWANEJ INSULINY LUDZKIEJ</w:t>
      </w: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30EA" w:rsidRPr="00C14402" w:rsidRDefault="000230EA" w:rsidP="000230E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4402">
        <w:rPr>
          <w:rFonts w:ascii="Times New Roman" w:hAnsi="Times New Roman" w:cs="Times New Roman"/>
          <w:sz w:val="32"/>
          <w:szCs w:val="32"/>
        </w:rPr>
        <w:t xml:space="preserve">Rozprawa na stopień </w:t>
      </w:r>
    </w:p>
    <w:p w:rsidR="000230EA" w:rsidRDefault="000230EA" w:rsidP="000230E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4402">
        <w:rPr>
          <w:rFonts w:ascii="Times New Roman" w:hAnsi="Times New Roman" w:cs="Times New Roman"/>
          <w:sz w:val="32"/>
          <w:szCs w:val="32"/>
        </w:rPr>
        <w:t>doktora nauk farmaceutycznych</w:t>
      </w: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230EA" w:rsidRPr="00C14402" w:rsidRDefault="000230EA" w:rsidP="000230EA">
      <w:pPr>
        <w:spacing w:line="360" w:lineRule="auto"/>
        <w:ind w:left="3540" w:firstLine="708"/>
        <w:rPr>
          <w:rFonts w:ascii="Times New Roman" w:hAnsi="Times New Roman" w:cs="Times New Roman"/>
          <w:sz w:val="32"/>
          <w:szCs w:val="32"/>
          <w:lang w:val="en-US"/>
        </w:rPr>
      </w:pPr>
      <w:r w:rsidRPr="00C14402">
        <w:rPr>
          <w:rFonts w:ascii="Times New Roman" w:hAnsi="Times New Roman" w:cs="Times New Roman"/>
          <w:sz w:val="32"/>
          <w:szCs w:val="32"/>
          <w:lang w:val="en-US"/>
        </w:rPr>
        <w:t>Promotor:</w:t>
      </w:r>
    </w:p>
    <w:p w:rsidR="000230EA" w:rsidRPr="00C14402" w:rsidRDefault="000230EA" w:rsidP="000230EA">
      <w:pPr>
        <w:spacing w:line="360" w:lineRule="auto"/>
        <w:ind w:left="424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C14402">
        <w:rPr>
          <w:rFonts w:ascii="Times New Roman" w:hAnsi="Times New Roman" w:cs="Times New Roman"/>
          <w:sz w:val="32"/>
          <w:szCs w:val="32"/>
          <w:lang w:val="en-US"/>
        </w:rPr>
        <w:t>r</w:t>
      </w:r>
      <w:proofErr w:type="spellEnd"/>
      <w:r w:rsidRPr="00C14402">
        <w:rPr>
          <w:rFonts w:ascii="Times New Roman" w:hAnsi="Times New Roman" w:cs="Times New Roman"/>
          <w:sz w:val="32"/>
          <w:szCs w:val="32"/>
          <w:lang w:val="en-US"/>
        </w:rPr>
        <w:t xml:space="preserve"> hab. n. farm. </w:t>
      </w:r>
      <w:r>
        <w:rPr>
          <w:rFonts w:ascii="Times New Roman" w:hAnsi="Times New Roman" w:cs="Times New Roman"/>
          <w:sz w:val="32"/>
          <w:szCs w:val="32"/>
        </w:rPr>
        <w:t xml:space="preserve">Wojciech </w:t>
      </w:r>
      <w:proofErr w:type="spellStart"/>
      <w:r>
        <w:rPr>
          <w:rFonts w:ascii="Times New Roman" w:hAnsi="Times New Roman" w:cs="Times New Roman"/>
          <w:sz w:val="32"/>
          <w:szCs w:val="32"/>
        </w:rPr>
        <w:t>Miltyk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30EA" w:rsidRDefault="000230EA" w:rsidP="000230EA">
      <w:pPr>
        <w:spacing w:line="36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B1266" wp14:editId="0E6D8B8E">
                <wp:simplePos x="0" y="0"/>
                <wp:positionH relativeFrom="column">
                  <wp:posOffset>-52070</wp:posOffset>
                </wp:positionH>
                <wp:positionV relativeFrom="paragraph">
                  <wp:posOffset>355600</wp:posOffset>
                </wp:positionV>
                <wp:extent cx="5981700" cy="0"/>
                <wp:effectExtent l="0" t="0" r="19050" b="19050"/>
                <wp:wrapNone/>
                <wp:docPr id="24799" name="Łącznik prostoliniowy 24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79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28pt" to="466.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" strokecolor="black [3213]"/>
            </w:pict>
          </mc:Fallback>
        </mc:AlternateContent>
      </w:r>
    </w:p>
    <w:p w:rsidR="000230EA" w:rsidRPr="00BE727B" w:rsidRDefault="000230EA" w:rsidP="000230EA">
      <w:pPr>
        <w:spacing w:line="360" w:lineRule="auto"/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 w:rsidRPr="001370FF">
        <w:rPr>
          <w:rFonts w:ascii="Times New Roman" w:hAnsi="Times New Roman" w:cs="Times New Roman"/>
          <w:i/>
          <w:sz w:val="28"/>
          <w:szCs w:val="28"/>
        </w:rPr>
        <w:t>Białystok 2015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F786A" wp14:editId="6A0B4C54">
                <wp:simplePos x="0" y="0"/>
                <wp:positionH relativeFrom="column">
                  <wp:posOffset>2757805</wp:posOffset>
                </wp:positionH>
                <wp:positionV relativeFrom="paragraph">
                  <wp:posOffset>561975</wp:posOffset>
                </wp:positionV>
                <wp:extent cx="247650" cy="247650"/>
                <wp:effectExtent l="0" t="0" r="19050" b="19050"/>
                <wp:wrapNone/>
                <wp:docPr id="24659" name="Prostokąt 24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4659" o:spid="_x0000_s1026" style="position:absolute;margin-left:217.15pt;margin-top:44.25pt;width:1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" fillcolor="white [3212]" strokecolor="white [3212]" strokeweight="2pt"/>
            </w:pict>
          </mc:Fallback>
        </mc:AlternateContent>
      </w:r>
    </w:p>
    <w:p w:rsidR="000230EA" w:rsidRDefault="000230EA" w:rsidP="000230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230EA" w:rsidRPr="00A51542" w:rsidRDefault="000230EA" w:rsidP="000230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F706B4" wp14:editId="1CC8EC1A">
                <wp:simplePos x="0" y="0"/>
                <wp:positionH relativeFrom="column">
                  <wp:posOffset>-52705</wp:posOffset>
                </wp:positionH>
                <wp:positionV relativeFrom="paragraph">
                  <wp:posOffset>-564515</wp:posOffset>
                </wp:positionV>
                <wp:extent cx="5891530" cy="431165"/>
                <wp:effectExtent l="0" t="0" r="52070" b="6985"/>
                <wp:wrapNone/>
                <wp:docPr id="24893" name="Grupa 24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431165"/>
                          <a:chOff x="0" y="0"/>
                          <a:chExt cx="6573328" cy="431321"/>
                        </a:xfrm>
                      </wpg:grpSpPr>
                      <wps:wsp>
                        <wps:cNvPr id="248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3328" cy="431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0EA" w:rsidRPr="00774A6F" w:rsidRDefault="000230EA" w:rsidP="000230E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Abstract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95" name="Łącznik prostoliniowy 24895"/>
                        <wps:cNvCnPr/>
                        <wps:spPr>
                          <a:xfrm>
                            <a:off x="69011" y="276045"/>
                            <a:ext cx="650323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4893" o:spid="_x0000_s1026" style="position:absolute;margin-left:-4.15pt;margin-top:-44.45pt;width:463.9pt;height:33.95pt;z-index:251659264;mso-width-relative:margin" coordsize="65733,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width:65733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3SsYA&#10;AADeAAAADwAAAGRycy9kb3ducmV2LnhtbESP22rDMBBE3wv9B7GFvpRabnBubpTQFlLymsQfsLbW&#10;F2qtjKX68vdVoJDHYWbOMLvDZFoxUO8aywreohgEcWF1w5WC7Hp83YBwHllja5kUzOTgsH982GGq&#10;7chnGi6+EgHCLkUFtfddKqUrajLoItsRB6+0vUEfZF9J3eMY4KaVizheSYMNh4UaO/qqqfi5/BoF&#10;5Wl8WW7H/Ntn63Oy+sRmndtZqeen6eMdhKfJ38P/7ZNWsEg22wRud8IVkP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L3SsYAAADeAAAADwAAAAAAAAAAAAAAAACYAgAAZHJz&#10;L2Rvd25yZXYueG1sUEsFBgAAAAAEAAQA9QAAAIsDAAAAAA==&#10;" stroked="f">
                  <v:textbox>
                    <w:txbxContent>
                      <w:p w:rsidR="000230EA" w:rsidRPr="00774A6F" w:rsidRDefault="000230EA" w:rsidP="000230EA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Abstract</w:t>
                        </w:r>
                        <w:proofErr w:type="spellEnd"/>
                      </w:p>
                    </w:txbxContent>
                  </v:textbox>
                </v:shape>
                <v:line id="Łącznik prostoliniowy 24895" o:spid="_x0000_s1028" style="position:absolute;visibility:visible;mso-wrap-style:square" from="690,2760" to="65722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LhCMcAAADeAAAADwAAAGRycy9kb3ducmV2LnhtbESPQWvCQBSE74L/YXlCb7oxWNHUNQRB&#10;2kNBakXo7ZF9zQazb0N2m8R/7xYKPQ4z8w2zy0fbiJ46XztWsFwkIIhLp2uuFFw+j/MNCB+QNTaO&#10;ScGdPOT76WSHmXYDf1B/DpWIEPYZKjAhtJmUvjRk0S9cSxy9b9dZDFF2ldQdDhFuG5kmyVparDku&#10;GGzpYKi8nX+sgtCsLl/vV13o0/i6Tk9Lc7hujVJPs7F4ARFoDP/hv/abVpCuNttn+L0Tr4Dc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8uEIxwAAAN4AAAAPAAAAAAAA&#10;AAAAAAAAAKECAABkcnMvZG93bnJldi54bWxQSwUGAAAAAAQABAD5AAAAlQMAAAAA&#10;" strokecolor="windowText" strokeweight="1pt">
                  <v:shadow on="t" color="black" opacity="24903f" origin=",.5" offset="0,.55556mm"/>
                </v:line>
              </v:group>
            </w:pict>
          </mc:Fallback>
        </mc:AlternateContent>
      </w:r>
      <w:r w:rsidRPr="00D16CE7">
        <w:rPr>
          <w:rFonts w:ascii="Times New Roman" w:hAnsi="Times New Roman" w:cs="Times New Roman"/>
          <w:b/>
          <w:sz w:val="24"/>
          <w:szCs w:val="24"/>
          <w:lang w:val="en-US"/>
        </w:rPr>
        <w:t>VIII.</w:t>
      </w:r>
      <w:r w:rsidRPr="00D16CE7">
        <w:rPr>
          <w:rFonts w:ascii="Times New Roman" w:hAnsi="Times New Roman" w:cs="Times New Roman"/>
          <w:b/>
          <w:sz w:val="24"/>
          <w:szCs w:val="24"/>
          <w:lang w:val="en-US"/>
        </w:rPr>
        <w:tab/>
        <w:t>ABSTRACT</w:t>
      </w:r>
    </w:p>
    <w:p w:rsidR="000230EA" w:rsidRPr="00A51542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Human insulin is a polypeptide hormone secreted by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pancreatic β cells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>. This hormone plays a key role in the reg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ulation of blood glucose levels and is composed of two chains: A (21 amino acids) and B (30 amino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acids) covalently linked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two disulfide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bridges, the third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disulfide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>bridge is the internal 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ructure of chain A and determines its form.</w:t>
      </w:r>
    </w:p>
    <w:p w:rsidR="000230EA" w:rsidRPr="00A51542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Recombinant human insulin manufacturing process, being the subject of the research,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based on a genetically modified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bacteria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strain of </w:t>
      </w:r>
      <w:r w:rsidRPr="00281D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 coli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containing the plasmid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the single chain human insulin precursor DNA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coding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fragment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DNA sequence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encoding the precursor contains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modified gene fragment of human superoxide dismutase Cu / Zn (SOD) </w:t>
      </w:r>
      <w:r w:rsidRPr="00276E3E">
        <w:rPr>
          <w:rFonts w:ascii="Times New Roman" w:eastAsia="Times New Roman" w:hAnsi="Times New Roman" w:cs="Times New Roman"/>
          <w:sz w:val="24"/>
          <w:szCs w:val="24"/>
          <w:lang w:val="en-US"/>
        </w:rPr>
        <w:t>responsible for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efficiency and reconstruction</w:t>
      </w:r>
      <w:r w:rsidRPr="00276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higher order structures.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order to receive the active form of the hormone - recombinant human insulin is correct dissolution of the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nclusion bodies and then reconstruction of the structure characteristic for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pro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tein present in the human body.</w:t>
      </w:r>
    </w:p>
    <w:p w:rsidR="000230EA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aim of the study was to evaluate the effect of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primary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>structure of human 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sulin precursor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manufacturing process and the characteristics of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received active substance -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>recombinant human insulin. In order to assess the role of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 precursor in the first stage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detai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led structural analysis 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confirming the amino acid sequence of a single chain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precursor was performed. For the evaluation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Edman degradation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 MALDI TOF techniques were used</w:t>
      </w:r>
      <w:r w:rsidRPr="00A5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E283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In the second stage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a detailed analysis </w:t>
      </w:r>
      <w:r w:rsidRPr="00AE283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for the folding process and protein material obtained as a result of enzymatic conversion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was performed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Based on the above data, the impact of the precursor structure on the active substance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manufacturing process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assessed. For evaluation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analytical methods based on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high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pressure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liquid chromatography (HPLC)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used.</w:t>
      </w:r>
    </w:p>
    <w:p w:rsidR="000230EA" w:rsidRPr="00AE2836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In the third, final and crucial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tage of the study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active ingredient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evaluated. For the quality evaluation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infrared spectroscopy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used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, which is one of the most comprehensive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research techniques which allows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view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secondary structure of proteins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changes caused by vari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ous external factors. Additionally the 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econdary structure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 was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confirmed by circular dichroism.</w:t>
      </w:r>
    </w:p>
    <w:p w:rsidR="000230EA" w:rsidRPr="00AE2836" w:rsidRDefault="000230EA" w:rsidP="000230EA">
      <w:pPr>
        <w:tabs>
          <w:tab w:val="num" w:pos="709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 accordance with the recommendation of the European Medicinal Agency f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or the final evaluation of the biological ac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tivity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the binding of insulin to human insulin recep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tor fragment and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 the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insulin-like growth factor I (IGF-IR)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measurements were used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230EA" w:rsidRPr="00AE2836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ab/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studies identified and confirmed the primary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structure of the single-chain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precursor used in the production of recombinant human insulin. In the course of 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analysis demonstrated that identified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structure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insulin precursor provides correct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repeatable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folding process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enzymatic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onversion of protein. 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tructural and biological compatibility between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tested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ins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ulin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reference substance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observed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230EA" w:rsidRDefault="000230EA" w:rsidP="000230EA">
      <w:pPr>
        <w:tabs>
          <w:tab w:val="num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166A93" wp14:editId="6E036E07">
                <wp:simplePos x="0" y="0"/>
                <wp:positionH relativeFrom="column">
                  <wp:posOffset>-635</wp:posOffset>
                </wp:positionH>
                <wp:positionV relativeFrom="paragraph">
                  <wp:posOffset>-1352550</wp:posOffset>
                </wp:positionV>
                <wp:extent cx="5891530" cy="431165"/>
                <wp:effectExtent l="0" t="0" r="52070" b="6985"/>
                <wp:wrapNone/>
                <wp:docPr id="303" name="Grupa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431165"/>
                          <a:chOff x="0" y="0"/>
                          <a:chExt cx="6573328" cy="431321"/>
                        </a:xfrm>
                      </wpg:grpSpPr>
                      <wps:wsp>
                        <wps:cNvPr id="3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3328" cy="431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0EA" w:rsidRPr="00774A6F" w:rsidRDefault="000230EA" w:rsidP="000230E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Abstract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Łącznik prostoliniowy 317"/>
                        <wps:cNvCnPr/>
                        <wps:spPr>
                          <a:xfrm>
                            <a:off x="69011" y="276045"/>
                            <a:ext cx="650323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303" o:spid="_x0000_s1029" style="position:absolute;left:0;text-align:left;margin-left:-.05pt;margin-top:-106.5pt;width:463.9pt;height:33.95pt;z-index:251660288;mso-width-relative:margin" coordsize="65733,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">
                <v:shape id="Pole tekstowe 2" o:spid="_x0000_s1030" type="#_x0000_t202" style="position:absolute;width:65733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UtcMA&#10;AADcAAAADwAAAGRycy9kb3ducmV2LnhtbESP0YrCMBRE3xf8h3AFXxZN1dVqNYoKu/iq2w+4Nte2&#10;2NyUJtr69xtB2MdhZs4w621nKvGgxpWWFYxHEQjizOqScwXp7/dwAcJ5ZI2VZVLwJAfbTe9jjYm2&#10;LZ/ocfa5CBB2CSoovK8TKV1WkEE3sjVx8K62MeiDbHKpG2wD3FRyEkVzabDksFBgTYeCstv5bhRc&#10;j+3nbNlefnwan77meyzji30qNeh3uxUIT53/D7/bR61gOp7B6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YUtcMAAADcAAAADwAAAAAAAAAAAAAAAACYAgAAZHJzL2Rv&#10;d25yZXYueG1sUEsFBgAAAAAEAAQA9QAAAIgDAAAAAA==&#10;" stroked="f">
                  <v:textbox>
                    <w:txbxContent>
                      <w:p w:rsidR="000230EA" w:rsidRPr="00774A6F" w:rsidRDefault="000230EA" w:rsidP="000230EA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Abstract</w:t>
                        </w:r>
                        <w:proofErr w:type="spellEnd"/>
                      </w:p>
                    </w:txbxContent>
                  </v:textbox>
                </v:shape>
                <v:line id="Łącznik prostoliniowy 317" o:spid="_x0000_s1031" style="position:absolute;visibility:visible;mso-wrap-style:square" from="690,2760" to="65722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cwL8UAAADcAAAADwAAAGRycy9kb3ducmV2LnhtbESPW4vCMBSE34X9D+Es7Jum1cVLNYoI&#10;sj4I4gXBt0NzbMo2J6XJav33G0HwcZiZb5jZorWVuFHjS8cK0l4Cgjh3uuRCwem47o5B+ICssXJM&#10;Ch7kYTH/6Mww0+7Oe7odQiEihH2GCkwIdSalzw1Z9D1XE0fv6hqLIcqmkLrBe4TbSvaTZCgtlhwX&#10;DNa0MpT/Hv6sglB9ny7bs17qXfsz7O9SszpPjFJfn+1yCiJQG97hV3ujFQzSETzPx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cwL8UAAADcAAAADwAAAAAAAAAA&#10;AAAAAAChAgAAZHJzL2Rvd25yZXYueG1sUEsFBgAAAAAEAAQA+QAAAJMDAAAAAA==&#10;" strokecolor="windowText" strokeweight="1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Obtained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results extend the knowledge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manufacturing processes for protein substances 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producing by recombination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technology,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hanisms that occur during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effect of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rimary structur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 of</w:t>
      </w:r>
      <w:r w:rsidRPr="00877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starting materials such as insulin s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 chain precursor on</w:t>
      </w:r>
      <w:r w:rsidRPr="00AE28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quality of the active substances used in the treatment of diabetes mellitus type I and II.</w:t>
      </w:r>
    </w:p>
    <w:p w:rsidR="004F2CFA" w:rsidRPr="000230EA" w:rsidRDefault="004F2CFA">
      <w:pPr>
        <w:rPr>
          <w:lang w:val="en-US"/>
        </w:rPr>
      </w:pPr>
    </w:p>
    <w:sectPr w:rsidR="004F2CFA" w:rsidRPr="0002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EA"/>
    <w:rsid w:val="000230EA"/>
    <w:rsid w:val="003355F1"/>
    <w:rsid w:val="0035581F"/>
    <w:rsid w:val="004F2CFA"/>
    <w:rsid w:val="0061014E"/>
    <w:rsid w:val="007A2065"/>
    <w:rsid w:val="008A1571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23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3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23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3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2015-11-20T09:16:00Z</dcterms:created>
  <dcterms:modified xsi:type="dcterms:W3CDTF">2015-11-20T09:17:00Z</dcterms:modified>
</cp:coreProperties>
</file>