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0C" w:rsidRPr="00EF1EDE" w:rsidRDefault="0021060C" w:rsidP="0021060C">
      <w:pPr>
        <w:spacing w:after="0" w:line="360" w:lineRule="auto"/>
        <w:jc w:val="center"/>
        <w:rPr>
          <w:rFonts w:ascii="Times New Roman" w:eastAsia="Calibri" w:hAnsi="Times New Roman" w:cs="Times New Roman"/>
          <w:b/>
          <w:sz w:val="24"/>
          <w:szCs w:val="24"/>
        </w:rPr>
      </w:pPr>
      <w:r w:rsidRPr="00EF1EDE">
        <w:rPr>
          <w:rFonts w:ascii="Times New Roman" w:eastAsia="Calibri" w:hAnsi="Times New Roman" w:cs="Times New Roman"/>
          <w:b/>
          <w:sz w:val="24"/>
          <w:szCs w:val="24"/>
        </w:rPr>
        <w:t>UNIWERSYTET MEDYCZNY W BIAŁYMSTOKU</w:t>
      </w:r>
    </w:p>
    <w:p w:rsidR="0021060C" w:rsidRPr="00EF1EDE" w:rsidRDefault="0021060C" w:rsidP="0021060C">
      <w:pPr>
        <w:spacing w:after="0" w:line="360" w:lineRule="auto"/>
        <w:jc w:val="center"/>
        <w:rPr>
          <w:rFonts w:ascii="Times New Roman" w:eastAsia="Calibri" w:hAnsi="Times New Roman" w:cs="Times New Roman"/>
          <w:b/>
          <w:sz w:val="24"/>
          <w:szCs w:val="24"/>
        </w:rPr>
      </w:pPr>
      <w:r w:rsidRPr="00EF1EDE">
        <w:rPr>
          <w:rFonts w:ascii="Times New Roman" w:eastAsia="Calibri" w:hAnsi="Times New Roman" w:cs="Times New Roman"/>
          <w:b/>
          <w:sz w:val="24"/>
          <w:szCs w:val="24"/>
        </w:rPr>
        <w:t>WYDZIAŁ FARMACEUTYCZNY</w:t>
      </w:r>
    </w:p>
    <w:p w:rsidR="0021060C" w:rsidRPr="00EF1EDE" w:rsidRDefault="0021060C" w:rsidP="0021060C">
      <w:pPr>
        <w:spacing w:after="0" w:line="360" w:lineRule="auto"/>
        <w:jc w:val="center"/>
        <w:rPr>
          <w:rFonts w:ascii="Times New Roman" w:eastAsia="Calibri" w:hAnsi="Times New Roman" w:cs="Times New Roman"/>
          <w:b/>
          <w:sz w:val="24"/>
          <w:szCs w:val="24"/>
        </w:rPr>
      </w:pPr>
      <w:r w:rsidRPr="00EF1EDE">
        <w:rPr>
          <w:rFonts w:ascii="Times New Roman" w:eastAsia="Calibri" w:hAnsi="Times New Roman" w:cs="Times New Roman"/>
          <w:b/>
          <w:sz w:val="24"/>
          <w:szCs w:val="24"/>
        </w:rPr>
        <w:t>Z ODDZIAŁEM MEDYCYNY LABORATORYJNEJ</w:t>
      </w:r>
    </w:p>
    <w:p w:rsidR="0021060C" w:rsidRPr="00EF1EDE" w:rsidRDefault="0021060C" w:rsidP="0021060C">
      <w:pPr>
        <w:spacing w:after="0" w:line="360" w:lineRule="auto"/>
        <w:jc w:val="center"/>
        <w:rPr>
          <w:rFonts w:ascii="Times New Roman" w:eastAsia="Calibri" w:hAnsi="Times New Roman" w:cs="Times New Roman"/>
          <w:sz w:val="24"/>
          <w:szCs w:val="24"/>
        </w:rPr>
      </w:pPr>
    </w:p>
    <w:p w:rsidR="0021060C" w:rsidRPr="00EF1EDE" w:rsidRDefault="0021060C" w:rsidP="0021060C">
      <w:pPr>
        <w:spacing w:after="0" w:line="360" w:lineRule="auto"/>
        <w:jc w:val="center"/>
        <w:rPr>
          <w:rFonts w:ascii="Times New Roman" w:eastAsia="Calibri" w:hAnsi="Times New Roman" w:cs="Times New Roman"/>
          <w:sz w:val="24"/>
          <w:szCs w:val="24"/>
        </w:rPr>
      </w:pPr>
      <w:r w:rsidRPr="00EF1EDE">
        <w:rPr>
          <w:rFonts w:ascii="Times New Roman" w:eastAsia="Calibri" w:hAnsi="Times New Roman" w:cs="Times New Roman"/>
          <w:noProof/>
          <w:sz w:val="24"/>
          <w:szCs w:val="24"/>
          <w:lang w:eastAsia="pl-PL"/>
        </w:rPr>
        <w:drawing>
          <wp:inline distT="0" distB="0" distL="0" distR="0" wp14:anchorId="154C5E3F" wp14:editId="2DC8584D">
            <wp:extent cx="1466850" cy="1466850"/>
            <wp:effectExtent l="19050" t="0" r="0" b="0"/>
            <wp:docPr id="3047" name="Obraz 3047" descr="logo_um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umb(1)"/>
                    <pic:cNvPicPr>
                      <a:picLocks noChangeAspect="1" noChangeArrowheads="1"/>
                    </pic:cNvPicPr>
                  </pic:nvPicPr>
                  <pic:blipFill>
                    <a:blip r:embed="rId5" cstate="print"/>
                    <a:srcRect/>
                    <a:stretch>
                      <a:fillRect/>
                    </a:stretch>
                  </pic:blipFill>
                  <pic:spPr bwMode="auto">
                    <a:xfrm>
                      <a:off x="0" y="0"/>
                      <a:ext cx="1466850" cy="1466850"/>
                    </a:xfrm>
                    <a:prstGeom prst="rect">
                      <a:avLst/>
                    </a:prstGeom>
                    <a:noFill/>
                    <a:ln w="9525">
                      <a:noFill/>
                      <a:miter lim="800000"/>
                      <a:headEnd/>
                      <a:tailEnd/>
                    </a:ln>
                  </pic:spPr>
                </pic:pic>
              </a:graphicData>
            </a:graphic>
          </wp:inline>
        </w:drawing>
      </w:r>
    </w:p>
    <w:p w:rsidR="0021060C" w:rsidRPr="00EF1EDE" w:rsidRDefault="0021060C" w:rsidP="0021060C">
      <w:pPr>
        <w:spacing w:after="0" w:line="360" w:lineRule="auto"/>
        <w:jc w:val="center"/>
        <w:rPr>
          <w:rFonts w:ascii="Times New Roman" w:eastAsia="Calibri" w:hAnsi="Times New Roman" w:cs="Times New Roman"/>
          <w:sz w:val="24"/>
          <w:szCs w:val="24"/>
        </w:rPr>
      </w:pPr>
    </w:p>
    <w:p w:rsidR="0021060C" w:rsidRPr="00EF1EDE" w:rsidRDefault="0021060C" w:rsidP="0021060C">
      <w:pPr>
        <w:spacing w:after="0" w:line="360" w:lineRule="auto"/>
        <w:jc w:val="center"/>
        <w:rPr>
          <w:rFonts w:ascii="Times New Roman" w:eastAsia="Calibri" w:hAnsi="Times New Roman" w:cs="Times New Roman"/>
          <w:b/>
          <w:sz w:val="26"/>
          <w:szCs w:val="26"/>
        </w:rPr>
      </w:pPr>
      <w:r w:rsidRPr="00EF1EDE">
        <w:rPr>
          <w:rFonts w:ascii="Times New Roman" w:eastAsia="Calibri" w:hAnsi="Times New Roman" w:cs="Times New Roman"/>
          <w:b/>
          <w:sz w:val="26"/>
          <w:szCs w:val="26"/>
        </w:rPr>
        <w:t xml:space="preserve">Monika </w:t>
      </w:r>
      <w:proofErr w:type="spellStart"/>
      <w:r w:rsidRPr="00EF1EDE">
        <w:rPr>
          <w:rFonts w:ascii="Times New Roman" w:eastAsia="Calibri" w:hAnsi="Times New Roman" w:cs="Times New Roman"/>
          <w:b/>
          <w:sz w:val="26"/>
          <w:szCs w:val="26"/>
        </w:rPr>
        <w:t>Trofimiuk</w:t>
      </w:r>
      <w:proofErr w:type="spellEnd"/>
    </w:p>
    <w:p w:rsidR="0021060C" w:rsidRPr="00EF1EDE" w:rsidRDefault="0021060C" w:rsidP="0021060C">
      <w:pPr>
        <w:spacing w:after="0" w:line="360" w:lineRule="auto"/>
        <w:jc w:val="center"/>
        <w:rPr>
          <w:rFonts w:ascii="Times New Roman" w:eastAsia="Calibri" w:hAnsi="Times New Roman" w:cs="Times New Roman"/>
          <w:sz w:val="24"/>
          <w:szCs w:val="24"/>
        </w:rPr>
      </w:pPr>
    </w:p>
    <w:p w:rsidR="0021060C" w:rsidRPr="00EF1EDE" w:rsidRDefault="0021060C" w:rsidP="0021060C">
      <w:pPr>
        <w:spacing w:after="0" w:line="360" w:lineRule="auto"/>
        <w:jc w:val="center"/>
        <w:rPr>
          <w:rFonts w:ascii="Times New Roman" w:eastAsia="Calibri" w:hAnsi="Times New Roman" w:cs="Times New Roman"/>
          <w:b/>
          <w:color w:val="002060"/>
          <w:sz w:val="26"/>
          <w:szCs w:val="26"/>
        </w:rPr>
      </w:pPr>
      <w:r w:rsidRPr="00EF1EDE">
        <w:rPr>
          <w:rFonts w:ascii="Times New Roman" w:eastAsia="Calibri" w:hAnsi="Times New Roman" w:cs="Times New Roman"/>
          <w:b/>
          <w:color w:val="002060"/>
          <w:sz w:val="26"/>
          <w:szCs w:val="26"/>
        </w:rPr>
        <w:t xml:space="preserve">ZASTOSOWANIE SYROPÓW I HYDROŻELI DOUSTNYCH </w:t>
      </w:r>
      <w:r w:rsidRPr="00EF1EDE">
        <w:rPr>
          <w:rFonts w:ascii="Times New Roman" w:eastAsia="Calibri" w:hAnsi="Times New Roman" w:cs="Times New Roman"/>
          <w:b/>
          <w:color w:val="002060"/>
          <w:sz w:val="26"/>
          <w:szCs w:val="26"/>
        </w:rPr>
        <w:br/>
        <w:t>W RECEPTUROWYCH LEKACH PEDIATRYCZNYCH</w:t>
      </w:r>
    </w:p>
    <w:p w:rsidR="0021060C" w:rsidRPr="00EF1EDE" w:rsidRDefault="0021060C" w:rsidP="0021060C">
      <w:pPr>
        <w:spacing w:after="0" w:line="360" w:lineRule="auto"/>
        <w:jc w:val="center"/>
        <w:rPr>
          <w:rFonts w:ascii="Times New Roman" w:eastAsia="Calibri" w:hAnsi="Times New Roman" w:cs="Times New Roman"/>
          <w:b/>
          <w:sz w:val="24"/>
          <w:szCs w:val="24"/>
        </w:rPr>
      </w:pPr>
    </w:p>
    <w:p w:rsidR="0021060C" w:rsidRPr="00EF1EDE" w:rsidRDefault="0021060C" w:rsidP="0021060C">
      <w:pPr>
        <w:spacing w:after="0" w:line="360" w:lineRule="auto"/>
        <w:jc w:val="center"/>
        <w:rPr>
          <w:rFonts w:ascii="Times New Roman" w:eastAsia="Calibri" w:hAnsi="Times New Roman" w:cs="Times New Roman"/>
          <w:b/>
          <w:sz w:val="26"/>
          <w:szCs w:val="26"/>
        </w:rPr>
      </w:pPr>
      <w:r w:rsidRPr="00EF1EDE">
        <w:rPr>
          <w:rFonts w:ascii="Times New Roman" w:eastAsia="Calibri" w:hAnsi="Times New Roman" w:cs="Times New Roman"/>
          <w:b/>
          <w:sz w:val="26"/>
          <w:szCs w:val="26"/>
        </w:rPr>
        <w:t>Rozprawa doktorska</w:t>
      </w:r>
    </w:p>
    <w:p w:rsidR="0021060C" w:rsidRPr="00EF1EDE" w:rsidRDefault="0021060C" w:rsidP="0021060C">
      <w:pPr>
        <w:spacing w:after="0" w:line="360" w:lineRule="auto"/>
        <w:jc w:val="center"/>
        <w:rPr>
          <w:rFonts w:ascii="Times New Roman" w:eastAsia="Calibri" w:hAnsi="Times New Roman" w:cs="Times New Roman"/>
          <w:b/>
          <w:sz w:val="24"/>
          <w:szCs w:val="24"/>
        </w:rPr>
      </w:pPr>
    </w:p>
    <w:p w:rsidR="0021060C" w:rsidRPr="00EF1EDE" w:rsidRDefault="0021060C" w:rsidP="0021060C">
      <w:pPr>
        <w:spacing w:after="0" w:line="360" w:lineRule="auto"/>
        <w:jc w:val="center"/>
        <w:rPr>
          <w:rFonts w:ascii="Times New Roman" w:eastAsia="Calibri" w:hAnsi="Times New Roman" w:cs="Times New Roman"/>
          <w:sz w:val="24"/>
          <w:szCs w:val="24"/>
        </w:rPr>
      </w:pPr>
      <w:r w:rsidRPr="00EF1EDE">
        <w:rPr>
          <w:rFonts w:ascii="Times New Roman" w:eastAsia="Calibri" w:hAnsi="Times New Roman" w:cs="Times New Roman"/>
          <w:sz w:val="24"/>
          <w:szCs w:val="24"/>
        </w:rPr>
        <w:t xml:space="preserve">Praca wykonana </w:t>
      </w:r>
    </w:p>
    <w:p w:rsidR="0021060C" w:rsidRPr="00EF1EDE" w:rsidRDefault="0021060C" w:rsidP="0021060C">
      <w:pPr>
        <w:spacing w:after="0" w:line="360" w:lineRule="auto"/>
        <w:jc w:val="center"/>
        <w:rPr>
          <w:rFonts w:ascii="Times New Roman" w:eastAsia="Calibri" w:hAnsi="Times New Roman" w:cs="Times New Roman"/>
          <w:sz w:val="24"/>
          <w:szCs w:val="24"/>
        </w:rPr>
      </w:pPr>
      <w:r w:rsidRPr="00EF1EDE">
        <w:rPr>
          <w:rFonts w:ascii="Times New Roman" w:eastAsia="Calibri" w:hAnsi="Times New Roman" w:cs="Times New Roman"/>
          <w:sz w:val="24"/>
          <w:szCs w:val="24"/>
        </w:rPr>
        <w:t>w Zakładzie Farmacji Stosowanej Uniwersytetu Medycznego w Białymstoku</w:t>
      </w:r>
    </w:p>
    <w:p w:rsidR="0021060C" w:rsidRPr="00EF1EDE" w:rsidRDefault="0021060C" w:rsidP="0021060C">
      <w:pPr>
        <w:spacing w:after="0" w:line="360" w:lineRule="auto"/>
        <w:jc w:val="center"/>
        <w:rPr>
          <w:rFonts w:ascii="Times New Roman" w:eastAsia="Calibri" w:hAnsi="Times New Roman" w:cs="Times New Roman"/>
          <w:sz w:val="24"/>
          <w:szCs w:val="24"/>
        </w:rPr>
      </w:pPr>
      <w:r w:rsidRPr="00EF1EDE">
        <w:rPr>
          <w:rFonts w:ascii="Times New Roman" w:eastAsia="Calibri" w:hAnsi="Times New Roman" w:cs="Times New Roman"/>
          <w:sz w:val="24"/>
          <w:szCs w:val="24"/>
        </w:rPr>
        <w:t>we współpracy z Katedrą i Zakładem Farmacji Stosowanej</w:t>
      </w:r>
    </w:p>
    <w:p w:rsidR="0021060C" w:rsidRPr="00EF1EDE" w:rsidRDefault="0021060C" w:rsidP="0021060C">
      <w:pPr>
        <w:spacing w:after="0" w:line="360" w:lineRule="auto"/>
        <w:jc w:val="center"/>
        <w:rPr>
          <w:rFonts w:ascii="Times New Roman" w:eastAsia="Calibri" w:hAnsi="Times New Roman" w:cs="Times New Roman"/>
          <w:sz w:val="24"/>
          <w:szCs w:val="24"/>
        </w:rPr>
      </w:pPr>
      <w:r w:rsidRPr="00EF1EDE">
        <w:rPr>
          <w:rFonts w:ascii="Times New Roman" w:eastAsia="Calibri" w:hAnsi="Times New Roman" w:cs="Times New Roman"/>
          <w:sz w:val="24"/>
          <w:szCs w:val="24"/>
        </w:rPr>
        <w:t>Gdańskiego Uniwersytetu Medycznego</w:t>
      </w:r>
    </w:p>
    <w:p w:rsidR="0021060C" w:rsidRPr="00EF1EDE" w:rsidRDefault="0021060C" w:rsidP="0021060C">
      <w:pPr>
        <w:spacing w:after="0" w:line="360" w:lineRule="auto"/>
        <w:jc w:val="right"/>
        <w:rPr>
          <w:rFonts w:ascii="Times New Roman" w:eastAsia="Calibri" w:hAnsi="Times New Roman" w:cs="Times New Roman"/>
          <w:b/>
          <w:sz w:val="24"/>
          <w:szCs w:val="24"/>
        </w:rPr>
      </w:pPr>
    </w:p>
    <w:p w:rsidR="0021060C" w:rsidRPr="00EF1EDE" w:rsidRDefault="0021060C" w:rsidP="0021060C">
      <w:pPr>
        <w:spacing w:after="0" w:line="360" w:lineRule="auto"/>
        <w:jc w:val="right"/>
        <w:rPr>
          <w:rFonts w:ascii="Times New Roman" w:eastAsia="Calibri" w:hAnsi="Times New Roman" w:cs="Times New Roman"/>
          <w:b/>
          <w:sz w:val="24"/>
          <w:szCs w:val="24"/>
        </w:rPr>
      </w:pPr>
      <w:r w:rsidRPr="00EF1EDE">
        <w:rPr>
          <w:rFonts w:ascii="Times New Roman" w:eastAsia="Calibri" w:hAnsi="Times New Roman" w:cs="Times New Roman"/>
          <w:b/>
          <w:sz w:val="24"/>
          <w:szCs w:val="24"/>
        </w:rPr>
        <w:t>Promotor rozprawy:</w:t>
      </w:r>
    </w:p>
    <w:p w:rsidR="0021060C" w:rsidRPr="00EF1EDE" w:rsidRDefault="0021060C" w:rsidP="0021060C">
      <w:pPr>
        <w:spacing w:after="0" w:line="360" w:lineRule="auto"/>
        <w:jc w:val="right"/>
        <w:rPr>
          <w:rFonts w:ascii="Times New Roman" w:eastAsia="Calibri" w:hAnsi="Times New Roman" w:cs="Times New Roman"/>
          <w:b/>
          <w:sz w:val="24"/>
          <w:szCs w:val="24"/>
        </w:rPr>
      </w:pPr>
      <w:r w:rsidRPr="00EF1EDE">
        <w:rPr>
          <w:rFonts w:ascii="Times New Roman" w:eastAsia="Calibri" w:hAnsi="Times New Roman" w:cs="Times New Roman"/>
          <w:b/>
          <w:sz w:val="24"/>
          <w:szCs w:val="24"/>
        </w:rPr>
        <w:t xml:space="preserve">Prof. dr hab. Małgorzata </w:t>
      </w:r>
      <w:proofErr w:type="spellStart"/>
      <w:r w:rsidRPr="00EF1EDE">
        <w:rPr>
          <w:rFonts w:ascii="Times New Roman" w:eastAsia="Calibri" w:hAnsi="Times New Roman" w:cs="Times New Roman"/>
          <w:b/>
          <w:sz w:val="24"/>
          <w:szCs w:val="24"/>
        </w:rPr>
        <w:t>Sznitowska</w:t>
      </w:r>
      <w:proofErr w:type="spellEnd"/>
    </w:p>
    <w:p w:rsidR="0021060C" w:rsidRPr="00EF1EDE" w:rsidRDefault="0021060C" w:rsidP="0021060C">
      <w:pPr>
        <w:spacing w:after="0" w:line="360" w:lineRule="auto"/>
        <w:jc w:val="right"/>
        <w:rPr>
          <w:rFonts w:ascii="Times New Roman" w:eastAsia="Calibri" w:hAnsi="Times New Roman" w:cs="Times New Roman"/>
          <w:sz w:val="24"/>
          <w:szCs w:val="24"/>
        </w:rPr>
      </w:pPr>
      <w:r w:rsidRPr="00EF1EDE">
        <w:rPr>
          <w:rFonts w:ascii="Times New Roman" w:eastAsia="Calibri" w:hAnsi="Times New Roman" w:cs="Times New Roman"/>
          <w:sz w:val="24"/>
          <w:szCs w:val="24"/>
        </w:rPr>
        <w:t>Kierownik Katedry i Zakładu Farmacji Stosowanej</w:t>
      </w:r>
    </w:p>
    <w:p w:rsidR="0021060C" w:rsidRPr="00EF1EDE" w:rsidRDefault="0021060C" w:rsidP="0021060C">
      <w:pPr>
        <w:spacing w:after="0" w:line="360" w:lineRule="auto"/>
        <w:jc w:val="right"/>
        <w:rPr>
          <w:rFonts w:ascii="Times New Roman" w:eastAsia="Calibri" w:hAnsi="Times New Roman" w:cs="Times New Roman"/>
          <w:sz w:val="24"/>
          <w:szCs w:val="24"/>
        </w:rPr>
      </w:pPr>
      <w:r w:rsidRPr="00EF1EDE">
        <w:rPr>
          <w:rFonts w:ascii="Times New Roman" w:eastAsia="Calibri" w:hAnsi="Times New Roman" w:cs="Times New Roman"/>
          <w:sz w:val="24"/>
          <w:szCs w:val="24"/>
        </w:rPr>
        <w:t>Gdańskiego Uniwersytetu Medycznego</w:t>
      </w:r>
    </w:p>
    <w:p w:rsidR="0021060C" w:rsidRPr="00EF1EDE" w:rsidRDefault="0021060C" w:rsidP="0021060C">
      <w:pPr>
        <w:spacing w:after="0" w:line="360" w:lineRule="auto"/>
        <w:jc w:val="right"/>
        <w:rPr>
          <w:rFonts w:ascii="Times New Roman" w:eastAsia="Calibri" w:hAnsi="Times New Roman" w:cs="Times New Roman"/>
          <w:sz w:val="24"/>
          <w:szCs w:val="24"/>
        </w:rPr>
      </w:pPr>
    </w:p>
    <w:p w:rsidR="0021060C" w:rsidRPr="00EF1EDE" w:rsidRDefault="0021060C" w:rsidP="0021060C">
      <w:pPr>
        <w:spacing w:after="0" w:line="360" w:lineRule="auto"/>
        <w:jc w:val="right"/>
        <w:rPr>
          <w:rFonts w:ascii="Times New Roman" w:eastAsia="Calibri" w:hAnsi="Times New Roman" w:cs="Times New Roman"/>
          <w:sz w:val="24"/>
          <w:szCs w:val="24"/>
        </w:rPr>
      </w:pPr>
      <w:r w:rsidRPr="00EF1EDE">
        <w:rPr>
          <w:rFonts w:ascii="Times New Roman" w:eastAsia="Calibri" w:hAnsi="Times New Roman" w:cs="Times New Roman"/>
          <w:sz w:val="24"/>
          <w:szCs w:val="24"/>
        </w:rPr>
        <w:t>Dr hab. n. farm. Katarzyna Winnicka</w:t>
      </w:r>
    </w:p>
    <w:p w:rsidR="0021060C" w:rsidRPr="00EF1EDE" w:rsidRDefault="0021060C" w:rsidP="0021060C">
      <w:pPr>
        <w:spacing w:after="0" w:line="360" w:lineRule="auto"/>
        <w:jc w:val="right"/>
        <w:rPr>
          <w:rFonts w:ascii="Times New Roman" w:eastAsia="Calibri" w:hAnsi="Times New Roman" w:cs="Times New Roman"/>
          <w:sz w:val="24"/>
          <w:szCs w:val="24"/>
        </w:rPr>
      </w:pPr>
      <w:r w:rsidRPr="00EF1EDE">
        <w:rPr>
          <w:rFonts w:ascii="Times New Roman" w:eastAsia="Calibri" w:hAnsi="Times New Roman" w:cs="Times New Roman"/>
          <w:sz w:val="24"/>
          <w:szCs w:val="24"/>
        </w:rPr>
        <w:t>Kierownik Zakładu Farmacji Stosowanej</w:t>
      </w:r>
    </w:p>
    <w:p w:rsidR="0021060C" w:rsidRPr="00EF1EDE" w:rsidRDefault="0021060C" w:rsidP="0021060C">
      <w:pPr>
        <w:spacing w:after="0" w:line="360" w:lineRule="auto"/>
        <w:jc w:val="right"/>
        <w:rPr>
          <w:rFonts w:ascii="Times New Roman" w:eastAsia="Calibri" w:hAnsi="Times New Roman" w:cs="Times New Roman"/>
          <w:sz w:val="24"/>
          <w:szCs w:val="24"/>
        </w:rPr>
      </w:pPr>
      <w:r w:rsidRPr="00EF1EDE">
        <w:rPr>
          <w:rFonts w:ascii="Times New Roman" w:eastAsia="Calibri" w:hAnsi="Times New Roman" w:cs="Times New Roman"/>
          <w:sz w:val="24"/>
          <w:szCs w:val="24"/>
        </w:rPr>
        <w:t>Uniwersytetu Medycznego w Białymstoku</w:t>
      </w:r>
    </w:p>
    <w:p w:rsidR="0021060C" w:rsidRPr="00EF1EDE" w:rsidRDefault="0021060C" w:rsidP="0021060C">
      <w:pPr>
        <w:spacing w:after="0" w:line="360" w:lineRule="auto"/>
        <w:jc w:val="center"/>
        <w:rPr>
          <w:rFonts w:ascii="Times New Roman" w:eastAsia="Calibri" w:hAnsi="Times New Roman" w:cs="Times New Roman"/>
          <w:b/>
          <w:sz w:val="24"/>
          <w:szCs w:val="24"/>
        </w:rPr>
      </w:pPr>
    </w:p>
    <w:p w:rsidR="0021060C" w:rsidRDefault="0021060C" w:rsidP="0021060C">
      <w:pPr>
        <w:tabs>
          <w:tab w:val="left" w:pos="284"/>
        </w:tabs>
        <w:spacing w:after="0" w:line="360" w:lineRule="auto"/>
        <w:jc w:val="center"/>
        <w:rPr>
          <w:rFonts w:ascii="Times New Roman" w:eastAsia="Calibri" w:hAnsi="Times New Roman" w:cs="Times New Roman"/>
          <w:b/>
          <w:color w:val="002060"/>
          <w:sz w:val="36"/>
          <w:szCs w:val="36"/>
        </w:rPr>
      </w:pPr>
      <w:bookmarkStart w:id="0" w:name="_GoBack"/>
      <w:bookmarkEnd w:id="0"/>
    </w:p>
    <w:p w:rsidR="0021060C" w:rsidRPr="008105E2" w:rsidRDefault="0021060C" w:rsidP="0021060C">
      <w:pPr>
        <w:tabs>
          <w:tab w:val="left" w:pos="284"/>
        </w:tabs>
        <w:spacing w:after="0" w:line="360" w:lineRule="auto"/>
        <w:jc w:val="center"/>
        <w:rPr>
          <w:rFonts w:ascii="Times New Roman" w:eastAsia="Calibri" w:hAnsi="Times New Roman" w:cs="Times New Roman"/>
          <w:b/>
          <w:color w:val="002060"/>
          <w:sz w:val="36"/>
          <w:szCs w:val="36"/>
        </w:rPr>
      </w:pPr>
      <w:r w:rsidRPr="008105E2">
        <w:rPr>
          <w:rFonts w:ascii="Times New Roman" w:eastAsia="Calibri" w:hAnsi="Times New Roman" w:cs="Times New Roman"/>
          <w:b/>
          <w:color w:val="002060"/>
          <w:sz w:val="36"/>
          <w:szCs w:val="36"/>
        </w:rPr>
        <w:lastRenderedPageBreak/>
        <w:t>VII. STRESZCZENIE</w:t>
      </w: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tabs>
          <w:tab w:val="left" w:pos="284"/>
        </w:tabs>
        <w:spacing w:after="0" w:line="360" w:lineRule="auto"/>
        <w:jc w:val="both"/>
        <w:rPr>
          <w:rFonts w:ascii="Calibri" w:eastAsia="Calibri" w:hAnsi="Calibri" w:cs="Times New Roman"/>
        </w:rPr>
      </w:pPr>
    </w:p>
    <w:p w:rsidR="0021060C" w:rsidRPr="008105E2" w:rsidRDefault="0021060C" w:rsidP="0021060C">
      <w:pPr>
        <w:spacing w:after="160" w:line="259" w:lineRule="auto"/>
        <w:rPr>
          <w:rFonts w:ascii="Calibri" w:eastAsia="Calibri" w:hAnsi="Calibri" w:cs="Times New Roman"/>
        </w:rPr>
      </w:pPr>
      <w:r w:rsidRPr="008105E2">
        <w:rPr>
          <w:rFonts w:ascii="Calibri" w:eastAsia="Calibri" w:hAnsi="Calibri" w:cs="Times New Roman"/>
        </w:rPr>
        <w:br w:type="page"/>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r w:rsidRPr="008105E2">
        <w:rPr>
          <w:rFonts w:ascii="Calibri" w:eastAsia="Calibri" w:hAnsi="Calibri" w:cs="Times New Roman"/>
        </w:rPr>
        <w:lastRenderedPageBreak/>
        <w:tab/>
      </w:r>
      <w:r w:rsidRPr="008105E2">
        <w:rPr>
          <w:rFonts w:ascii="Times New Roman" w:eastAsia="Calibri" w:hAnsi="Times New Roman" w:cs="Times New Roman"/>
          <w:sz w:val="24"/>
          <w:szCs w:val="24"/>
        </w:rPr>
        <w:t>Problemy farmakoterapii dzieci związane z podawaniem leku wynikają w dużej mierze z braku odpowiedniej doustnej postaci leku, akceptowalnej i łatwej do połknięcia przez dziecko oraz umożliwiającej odmierzenie różnej dawki, zależnej od wieku dziecka. Powszechne jest stosowanie tabletek przeznaczonych dla dorosłych, nawet bez wskazań pediatrycznych (</w:t>
      </w:r>
      <w:r w:rsidRPr="008105E2">
        <w:rPr>
          <w:rFonts w:ascii="Times New Roman" w:eastAsia="Calibri" w:hAnsi="Times New Roman" w:cs="Times New Roman"/>
          <w:i/>
          <w:sz w:val="24"/>
          <w:szCs w:val="24"/>
        </w:rPr>
        <w:t xml:space="preserve">off </w:t>
      </w:r>
      <w:proofErr w:type="spellStart"/>
      <w:r w:rsidRPr="008105E2">
        <w:rPr>
          <w:rFonts w:ascii="Times New Roman" w:eastAsia="Calibri" w:hAnsi="Times New Roman" w:cs="Times New Roman"/>
          <w:i/>
          <w:sz w:val="24"/>
          <w:szCs w:val="24"/>
        </w:rPr>
        <w:t>label</w:t>
      </w:r>
      <w:proofErr w:type="spellEnd"/>
      <w:r w:rsidRPr="008105E2">
        <w:rPr>
          <w:rFonts w:ascii="Times New Roman" w:eastAsia="Calibri" w:hAnsi="Times New Roman" w:cs="Times New Roman"/>
          <w:sz w:val="24"/>
          <w:szCs w:val="24"/>
        </w:rPr>
        <w:t xml:space="preserve">) i podawanie dawki uzyskanej po podzieleniu lub pokruszeniu tabletki. W aptekach sporządza się często recepturowe proszki pediatryczne, z substancji </w:t>
      </w:r>
      <w:r w:rsidRPr="008105E2">
        <w:rPr>
          <w:rFonts w:ascii="Times New Roman" w:eastAsia="Calibri" w:hAnsi="Times New Roman" w:cs="Times New Roman"/>
          <w:i/>
          <w:sz w:val="24"/>
          <w:szCs w:val="24"/>
        </w:rPr>
        <w:t>pro receptura</w:t>
      </w:r>
      <w:r w:rsidRPr="008105E2">
        <w:rPr>
          <w:rFonts w:ascii="Times New Roman" w:eastAsia="Calibri" w:hAnsi="Times New Roman" w:cs="Times New Roman"/>
          <w:sz w:val="24"/>
          <w:szCs w:val="24"/>
        </w:rPr>
        <w:t xml:space="preserve"> albo z tabletek lub kapsułek. Z kolei w recepturze amerykańskiej lub zachodniej Europy preferuje się sporządzanie płynnych form recepturowych – syropów. </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r w:rsidRPr="008105E2">
        <w:rPr>
          <w:rFonts w:ascii="Times New Roman" w:eastAsia="Calibri" w:hAnsi="Times New Roman" w:cs="Times New Roman"/>
          <w:sz w:val="24"/>
          <w:szCs w:val="24"/>
        </w:rPr>
        <w:tab/>
        <w:t>Do wykonania syropów wykorzystywane są w głównej mierze komercyjne fazy rozpraszające, aktualnie w Polsce niedostępne. Celem niniejszej pracy było wytypowanie odpowiednich faz rozpraszających dla wybranych substancji leczniczych pozyskiwanych z tabletek obecnych w obrocie na rynku farmaceutycznym w Polsce. Porównywano komercyjne fazy rozpraszające (</w:t>
      </w:r>
      <w:r w:rsidRPr="008105E2">
        <w:rPr>
          <w:rFonts w:ascii="Times New Roman" w:eastAsia="Calibri" w:hAnsi="Times New Roman" w:cs="Times New Roman"/>
          <w:i/>
          <w:sz w:val="24"/>
          <w:szCs w:val="24"/>
        </w:rPr>
        <w:t>produkty Ora</w:t>
      </w:r>
      <w:r w:rsidRPr="008105E2">
        <w:rPr>
          <w:rFonts w:ascii="Times New Roman" w:eastAsia="Calibri" w:hAnsi="Times New Roman" w:cs="Times New Roman"/>
          <w:i/>
          <w:sz w:val="24"/>
          <w:szCs w:val="24"/>
          <w:vertAlign w:val="superscript"/>
        </w:rPr>
        <w:t>®</w:t>
      </w:r>
      <w:r w:rsidRPr="008105E2">
        <w:rPr>
          <w:rFonts w:ascii="Times New Roman" w:eastAsia="Calibri" w:hAnsi="Times New Roman" w:cs="Times New Roman"/>
          <w:sz w:val="24"/>
          <w:szCs w:val="24"/>
        </w:rPr>
        <w:t>), fazy farmakopealne (</w:t>
      </w:r>
      <w:r w:rsidRPr="008105E2">
        <w:rPr>
          <w:rFonts w:ascii="Times New Roman" w:eastAsia="Calibri" w:hAnsi="Times New Roman" w:cs="Times New Roman"/>
          <w:i/>
          <w:sz w:val="24"/>
          <w:szCs w:val="24"/>
        </w:rPr>
        <w:t>USP39/NF34</w:t>
      </w:r>
      <w:r w:rsidRPr="008105E2">
        <w:rPr>
          <w:rFonts w:ascii="Times New Roman" w:eastAsia="Calibri" w:hAnsi="Times New Roman" w:cs="Times New Roman"/>
          <w:sz w:val="24"/>
          <w:szCs w:val="24"/>
        </w:rPr>
        <w:t xml:space="preserve">) </w:t>
      </w:r>
      <w:r w:rsidRPr="008105E2">
        <w:rPr>
          <w:rFonts w:ascii="Times New Roman" w:eastAsia="Calibri" w:hAnsi="Times New Roman" w:cs="Times New Roman"/>
          <w:sz w:val="24"/>
          <w:szCs w:val="24"/>
        </w:rPr>
        <w:br/>
        <w:t xml:space="preserve">i fazy o uproszczonym składzie, możliwe do sporządzenia w aptece. Na podstawie analizy receptariuszy aptek szpitalnych (w latach 2007 – 2017) wytypowano do badań następujące substancje lecznicze: </w:t>
      </w:r>
      <w:proofErr w:type="spellStart"/>
      <w:r w:rsidRPr="008105E2">
        <w:rPr>
          <w:rFonts w:ascii="Times New Roman" w:eastAsia="Calibri" w:hAnsi="Times New Roman" w:cs="Times New Roman"/>
          <w:sz w:val="24"/>
          <w:szCs w:val="24"/>
        </w:rPr>
        <w:t>walsartan</w:t>
      </w:r>
      <w:proofErr w:type="spellEnd"/>
      <w:r w:rsidRPr="008105E2">
        <w:rPr>
          <w:rFonts w:ascii="Times New Roman" w:eastAsia="Calibri" w:hAnsi="Times New Roman" w:cs="Times New Roman"/>
          <w:sz w:val="24"/>
          <w:szCs w:val="24"/>
        </w:rPr>
        <w:t xml:space="preserve"> (VAL), </w:t>
      </w:r>
      <w:proofErr w:type="spellStart"/>
      <w:r w:rsidRPr="008105E2">
        <w:rPr>
          <w:rFonts w:ascii="Times New Roman" w:eastAsia="Calibri" w:hAnsi="Times New Roman" w:cs="Times New Roman"/>
          <w:sz w:val="24"/>
          <w:szCs w:val="24"/>
        </w:rPr>
        <w:t>kandesartan</w:t>
      </w:r>
      <w:proofErr w:type="spellEnd"/>
      <w:r w:rsidRPr="008105E2">
        <w:rPr>
          <w:rFonts w:ascii="Times New Roman" w:eastAsia="Calibri" w:hAnsi="Times New Roman" w:cs="Times New Roman"/>
          <w:sz w:val="24"/>
          <w:szCs w:val="24"/>
        </w:rPr>
        <w:t xml:space="preserve"> </w:t>
      </w:r>
      <w:proofErr w:type="spellStart"/>
      <w:r w:rsidRPr="008105E2">
        <w:rPr>
          <w:rFonts w:ascii="Times New Roman" w:eastAsia="Calibri" w:hAnsi="Times New Roman" w:cs="Times New Roman"/>
          <w:sz w:val="24"/>
          <w:szCs w:val="24"/>
        </w:rPr>
        <w:t>cyleksetylu</w:t>
      </w:r>
      <w:proofErr w:type="spellEnd"/>
      <w:r w:rsidRPr="008105E2">
        <w:rPr>
          <w:rFonts w:ascii="Times New Roman" w:eastAsia="Calibri" w:hAnsi="Times New Roman" w:cs="Times New Roman"/>
          <w:sz w:val="24"/>
          <w:szCs w:val="24"/>
        </w:rPr>
        <w:t xml:space="preserve"> (CC), </w:t>
      </w:r>
      <w:proofErr w:type="spellStart"/>
      <w:r w:rsidRPr="008105E2">
        <w:rPr>
          <w:rFonts w:ascii="Times New Roman" w:eastAsia="Calibri" w:hAnsi="Times New Roman" w:cs="Times New Roman"/>
          <w:sz w:val="24"/>
          <w:szCs w:val="24"/>
        </w:rPr>
        <w:t>karwedilol</w:t>
      </w:r>
      <w:proofErr w:type="spellEnd"/>
      <w:r w:rsidRPr="008105E2">
        <w:rPr>
          <w:rFonts w:ascii="Times New Roman" w:eastAsia="Calibri" w:hAnsi="Times New Roman" w:cs="Times New Roman"/>
          <w:sz w:val="24"/>
          <w:szCs w:val="24"/>
        </w:rPr>
        <w:t xml:space="preserve"> (CARV), chlorowodorek </w:t>
      </w:r>
      <w:proofErr w:type="spellStart"/>
      <w:r w:rsidRPr="008105E2">
        <w:rPr>
          <w:rFonts w:ascii="Times New Roman" w:eastAsia="Calibri" w:hAnsi="Times New Roman" w:cs="Times New Roman"/>
          <w:sz w:val="24"/>
          <w:szCs w:val="24"/>
        </w:rPr>
        <w:t>propranololu</w:t>
      </w:r>
      <w:proofErr w:type="spellEnd"/>
      <w:r w:rsidRPr="008105E2">
        <w:rPr>
          <w:rFonts w:ascii="Times New Roman" w:eastAsia="Calibri" w:hAnsi="Times New Roman" w:cs="Times New Roman"/>
          <w:sz w:val="24"/>
          <w:szCs w:val="24"/>
        </w:rPr>
        <w:t xml:space="preserve"> (PROP), </w:t>
      </w:r>
      <w:proofErr w:type="spellStart"/>
      <w:r w:rsidRPr="008105E2">
        <w:rPr>
          <w:rFonts w:ascii="Times New Roman" w:eastAsia="Calibri" w:hAnsi="Times New Roman" w:cs="Times New Roman"/>
          <w:sz w:val="24"/>
          <w:szCs w:val="24"/>
        </w:rPr>
        <w:t>prednizon</w:t>
      </w:r>
      <w:proofErr w:type="spellEnd"/>
      <w:r w:rsidRPr="008105E2">
        <w:rPr>
          <w:rFonts w:ascii="Times New Roman" w:eastAsia="Calibri" w:hAnsi="Times New Roman" w:cs="Times New Roman"/>
          <w:sz w:val="24"/>
          <w:szCs w:val="24"/>
        </w:rPr>
        <w:t xml:space="preserve"> (PRED) i teofilinę (TEO). </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r w:rsidRPr="008105E2">
        <w:rPr>
          <w:rFonts w:ascii="Times New Roman" w:eastAsia="Calibri" w:hAnsi="Times New Roman" w:cs="Times New Roman"/>
          <w:sz w:val="24"/>
          <w:szCs w:val="24"/>
        </w:rPr>
        <w:tab/>
        <w:t xml:space="preserve">Oceniono trwałość fizykochemiczną sporządzonych faz rozpraszających oraz syropów uzyskanych przez zawieszenie w nich sproszkowanych tabletek. Na podstawie wyników analizy fizykochemicznej syropów przechowywanych przez 35 dni w temperaturze pokojowej i w lodówce stwierdzono, że zarówno podłoża farmakopealne, </w:t>
      </w:r>
      <w:r w:rsidRPr="008105E2">
        <w:rPr>
          <w:rFonts w:ascii="Times New Roman" w:eastAsia="Calibri" w:hAnsi="Times New Roman" w:cs="Times New Roman"/>
          <w:sz w:val="24"/>
          <w:szCs w:val="24"/>
        </w:rPr>
        <w:br/>
        <w:t xml:space="preserve">jak i opracowane fazy rozpraszające pozwalają na sporządzenie syropów z tabletek </w:t>
      </w:r>
      <w:r w:rsidRPr="008105E2">
        <w:rPr>
          <w:rFonts w:ascii="Times New Roman" w:eastAsia="Calibri" w:hAnsi="Times New Roman" w:cs="Times New Roman"/>
          <w:sz w:val="24"/>
          <w:szCs w:val="24"/>
        </w:rPr>
        <w:br/>
        <w:t xml:space="preserve">z VAL, CC, CARV, PRED i PROP. Potwierdzono odpowiednią czystość mikrobiologiczną nie tylko syropów ze środkami </w:t>
      </w:r>
      <w:proofErr w:type="spellStart"/>
      <w:r w:rsidRPr="008105E2">
        <w:rPr>
          <w:rFonts w:ascii="Times New Roman" w:eastAsia="Calibri" w:hAnsi="Times New Roman" w:cs="Times New Roman"/>
          <w:sz w:val="24"/>
          <w:szCs w:val="24"/>
        </w:rPr>
        <w:t>konserwującycmi</w:t>
      </w:r>
      <w:proofErr w:type="spellEnd"/>
      <w:r w:rsidRPr="008105E2">
        <w:rPr>
          <w:rFonts w:ascii="Times New Roman" w:eastAsia="Calibri" w:hAnsi="Times New Roman" w:cs="Times New Roman"/>
          <w:sz w:val="24"/>
          <w:szCs w:val="24"/>
        </w:rPr>
        <w:t xml:space="preserve">, ale także syropu </w:t>
      </w:r>
      <w:r w:rsidRPr="008105E2">
        <w:rPr>
          <w:rFonts w:ascii="Times New Roman" w:eastAsia="Calibri" w:hAnsi="Times New Roman" w:cs="Times New Roman"/>
          <w:sz w:val="24"/>
          <w:szCs w:val="24"/>
        </w:rPr>
        <w:br/>
        <w:t xml:space="preserve">bez środków konserwujących (54% sacharozy). Niestety żadna z faz rozpraszających </w:t>
      </w:r>
      <w:r w:rsidRPr="008105E2">
        <w:rPr>
          <w:rFonts w:ascii="Times New Roman" w:eastAsia="Calibri" w:hAnsi="Times New Roman" w:cs="Times New Roman"/>
          <w:sz w:val="24"/>
          <w:szCs w:val="24"/>
        </w:rPr>
        <w:br/>
        <w:t xml:space="preserve">nie eliminowała gorzkiego smaku PRED, a stabilnych syropów recepturowych z TEO </w:t>
      </w:r>
      <w:r w:rsidRPr="008105E2">
        <w:rPr>
          <w:rFonts w:ascii="Times New Roman" w:eastAsia="Calibri" w:hAnsi="Times New Roman" w:cs="Times New Roman"/>
          <w:sz w:val="24"/>
          <w:szCs w:val="24"/>
        </w:rPr>
        <w:br/>
        <w:t>nie  można uzyskać, ze względu na krystalizację substancji.</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r w:rsidRPr="008105E2">
        <w:rPr>
          <w:rFonts w:ascii="Times New Roman" w:eastAsia="Calibri" w:hAnsi="Times New Roman" w:cs="Times New Roman"/>
          <w:sz w:val="24"/>
          <w:szCs w:val="24"/>
        </w:rPr>
        <w:tab/>
        <w:t xml:space="preserve">Kolejny etap pracy obejmował zaproponowanie hydrożeli doustnych jako nowej postaci leku pediatrycznego, alternatywnej do syropów i atrakcyjnej dla dziecka. Zbadano właściwości aplikacyjne i fizyczne nośników hydrożelowych sporządzonych </w:t>
      </w:r>
      <w:r w:rsidRPr="008105E2">
        <w:rPr>
          <w:rFonts w:ascii="Times New Roman" w:eastAsia="Calibri" w:hAnsi="Times New Roman" w:cs="Times New Roman"/>
          <w:sz w:val="24"/>
          <w:szCs w:val="24"/>
        </w:rPr>
        <w:br/>
        <w:t>z pochodnych celulozy (</w:t>
      </w:r>
      <w:proofErr w:type="spellStart"/>
      <w:r w:rsidRPr="008105E2">
        <w:rPr>
          <w:rFonts w:ascii="Times New Roman" w:eastAsia="Calibri" w:hAnsi="Times New Roman" w:cs="Times New Roman"/>
          <w:sz w:val="24"/>
          <w:szCs w:val="24"/>
        </w:rPr>
        <w:t>hydroksetylocelulozy</w:t>
      </w:r>
      <w:proofErr w:type="spellEnd"/>
      <w:r w:rsidRPr="008105E2">
        <w:rPr>
          <w:rFonts w:ascii="Times New Roman" w:eastAsia="Calibri" w:hAnsi="Times New Roman" w:cs="Times New Roman"/>
          <w:sz w:val="24"/>
          <w:szCs w:val="24"/>
        </w:rPr>
        <w:t xml:space="preserve"> i </w:t>
      </w:r>
      <w:proofErr w:type="spellStart"/>
      <w:r w:rsidRPr="008105E2">
        <w:rPr>
          <w:rFonts w:ascii="Times New Roman" w:eastAsia="Calibri" w:hAnsi="Times New Roman" w:cs="Times New Roman"/>
          <w:sz w:val="24"/>
          <w:szCs w:val="24"/>
        </w:rPr>
        <w:t>karmelozy</w:t>
      </w:r>
      <w:proofErr w:type="spellEnd"/>
      <w:r w:rsidRPr="008105E2">
        <w:rPr>
          <w:rFonts w:ascii="Times New Roman" w:eastAsia="Calibri" w:hAnsi="Times New Roman" w:cs="Times New Roman"/>
          <w:sz w:val="24"/>
          <w:szCs w:val="24"/>
        </w:rPr>
        <w:t xml:space="preserve"> sodowej) oraz </w:t>
      </w:r>
      <w:proofErr w:type="spellStart"/>
      <w:r w:rsidRPr="008105E2">
        <w:rPr>
          <w:rFonts w:ascii="Times New Roman" w:eastAsia="Calibri" w:hAnsi="Times New Roman" w:cs="Times New Roman"/>
          <w:sz w:val="24"/>
          <w:szCs w:val="24"/>
        </w:rPr>
        <w:t>karbomeru</w:t>
      </w:r>
      <w:proofErr w:type="spellEnd"/>
      <w:r w:rsidRPr="008105E2">
        <w:rPr>
          <w:rFonts w:ascii="Times New Roman" w:eastAsia="Calibri" w:hAnsi="Times New Roman" w:cs="Times New Roman"/>
          <w:sz w:val="24"/>
          <w:szCs w:val="24"/>
        </w:rPr>
        <w:t xml:space="preserve">. </w:t>
      </w:r>
      <w:r w:rsidRPr="008105E2">
        <w:rPr>
          <w:rFonts w:ascii="Times New Roman" w:eastAsia="Calibri" w:hAnsi="Times New Roman" w:cs="Times New Roman"/>
          <w:sz w:val="24"/>
          <w:szCs w:val="24"/>
        </w:rPr>
        <w:lastRenderedPageBreak/>
        <w:t xml:space="preserve">Stwierdzono, że hydrożele z </w:t>
      </w:r>
      <w:proofErr w:type="spellStart"/>
      <w:r w:rsidRPr="008105E2">
        <w:rPr>
          <w:rFonts w:ascii="Times New Roman" w:eastAsia="Calibri" w:hAnsi="Times New Roman" w:cs="Times New Roman"/>
          <w:sz w:val="24"/>
          <w:szCs w:val="24"/>
        </w:rPr>
        <w:t>karbomeru</w:t>
      </w:r>
      <w:proofErr w:type="spellEnd"/>
      <w:r w:rsidRPr="008105E2">
        <w:rPr>
          <w:rFonts w:ascii="Times New Roman" w:eastAsia="Calibri" w:hAnsi="Times New Roman" w:cs="Times New Roman"/>
          <w:sz w:val="24"/>
          <w:szCs w:val="24"/>
        </w:rPr>
        <w:t xml:space="preserve"> w stężeniu 0,75% lub z pochodnych celulozy </w:t>
      </w:r>
      <w:r w:rsidRPr="008105E2">
        <w:rPr>
          <w:rFonts w:ascii="Times New Roman" w:eastAsia="Calibri" w:hAnsi="Times New Roman" w:cs="Times New Roman"/>
          <w:sz w:val="24"/>
          <w:szCs w:val="24"/>
        </w:rPr>
        <w:br/>
        <w:t xml:space="preserve">w stężeniu 2,0% charakteryzują się najlepszą konsystencją, lepkości i właściwościami organoleptycznymi. Recepturowe żele doustne sporządzone na tych podłożach z tabletek z VAL lub CC były trwałe przez co najmniej 14 dni. Jedynie w żelach z HEC nie potwierdzono chemicznej trwałości VAL. Trwałość mikrobiologiczną gwarantował dodatek </w:t>
      </w:r>
      <w:proofErr w:type="spellStart"/>
      <w:r w:rsidRPr="008105E2">
        <w:rPr>
          <w:rFonts w:ascii="Times New Roman" w:eastAsia="Calibri" w:hAnsi="Times New Roman" w:cs="Times New Roman"/>
          <w:sz w:val="24"/>
          <w:szCs w:val="24"/>
        </w:rPr>
        <w:t>metloparabenu</w:t>
      </w:r>
      <w:proofErr w:type="spellEnd"/>
      <w:r w:rsidRPr="008105E2">
        <w:rPr>
          <w:rFonts w:ascii="Times New Roman" w:eastAsia="Calibri" w:hAnsi="Times New Roman" w:cs="Times New Roman"/>
          <w:sz w:val="24"/>
          <w:szCs w:val="24"/>
        </w:rPr>
        <w:t xml:space="preserve"> (0,1%) oraz </w:t>
      </w:r>
      <w:proofErr w:type="spellStart"/>
      <w:r w:rsidRPr="008105E2">
        <w:rPr>
          <w:rFonts w:ascii="Times New Roman" w:eastAsia="Calibri" w:hAnsi="Times New Roman" w:cs="Times New Roman"/>
          <w:sz w:val="24"/>
          <w:szCs w:val="24"/>
        </w:rPr>
        <w:t>sorbinianu</w:t>
      </w:r>
      <w:proofErr w:type="spellEnd"/>
      <w:r w:rsidRPr="008105E2">
        <w:rPr>
          <w:rFonts w:ascii="Times New Roman" w:eastAsia="Calibri" w:hAnsi="Times New Roman" w:cs="Times New Roman"/>
          <w:sz w:val="24"/>
          <w:szCs w:val="24"/>
        </w:rPr>
        <w:t xml:space="preserve"> potasu (0,1%).</w:t>
      </w:r>
    </w:p>
    <w:p w:rsidR="0021060C" w:rsidRPr="008105E2" w:rsidRDefault="0021060C" w:rsidP="0021060C">
      <w:pPr>
        <w:tabs>
          <w:tab w:val="left" w:pos="284"/>
          <w:tab w:val="left" w:pos="426"/>
        </w:tabs>
        <w:spacing w:after="0" w:line="360" w:lineRule="auto"/>
        <w:jc w:val="both"/>
        <w:rPr>
          <w:rFonts w:ascii="Times New Roman" w:eastAsia="Calibri" w:hAnsi="Times New Roman" w:cs="Times New Roman"/>
          <w:sz w:val="24"/>
          <w:szCs w:val="24"/>
        </w:rPr>
      </w:pPr>
      <w:r w:rsidRPr="008105E2">
        <w:rPr>
          <w:rFonts w:ascii="Times New Roman" w:eastAsia="Calibri" w:hAnsi="Times New Roman" w:cs="Times New Roman"/>
          <w:sz w:val="24"/>
          <w:szCs w:val="24"/>
        </w:rPr>
        <w:tab/>
      </w:r>
      <w:r w:rsidRPr="008105E2">
        <w:rPr>
          <w:rFonts w:ascii="Times New Roman" w:eastAsia="Calibri" w:hAnsi="Times New Roman" w:cs="Times New Roman"/>
          <w:sz w:val="24"/>
          <w:szCs w:val="24"/>
        </w:rPr>
        <w:tab/>
        <w:t xml:space="preserve">Istotnym aspektem pracy było również przeprowadzenie ankiety wśród lekarzy pediatrów różnych specjalności na temat stosowania leków recepturowych dla dzieci do 6. roku życia. Uzyskane wyniki w dużym stopniu potwierdziły podjęte w pracy założenia dotyczące receptury pediatrycznej, ze wskazaniem formy płynnej jako preferowanej, która chętnie wybierana byłaby przez lekarzy jako bardziej odpowiednia dla dziecka niż proszek recepturowy wymagający mieszania z pożywieniem lub napojem. </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r w:rsidRPr="008105E2">
        <w:rPr>
          <w:rFonts w:ascii="Times New Roman" w:eastAsia="Calibri" w:hAnsi="Times New Roman" w:cs="Times New Roman"/>
          <w:sz w:val="24"/>
          <w:szCs w:val="24"/>
        </w:rPr>
        <w:tab/>
      </w:r>
      <w:r w:rsidRPr="008105E2">
        <w:rPr>
          <w:rFonts w:ascii="Times New Roman" w:eastAsia="Calibri" w:hAnsi="Times New Roman" w:cs="Times New Roman"/>
          <w:sz w:val="24"/>
          <w:szCs w:val="24"/>
        </w:rPr>
        <w:tab/>
      </w: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sectPr w:rsidR="0021060C" w:rsidRPr="008105E2" w:rsidSect="00EF1EDE">
          <w:headerReference w:type="default" r:id="rId6"/>
          <w:pgSz w:w="11906" w:h="16838"/>
          <w:pgMar w:top="1418" w:right="1418" w:bottom="1418" w:left="1985" w:header="709" w:footer="709" w:gutter="0"/>
          <w:pgNumType w:start="153"/>
          <w:cols w:space="708"/>
          <w:docGrid w:linePitch="360"/>
        </w:sectPr>
      </w:pPr>
      <w:r w:rsidRPr="008105E2">
        <w:rPr>
          <w:rFonts w:ascii="Times New Roman" w:eastAsia="Calibri" w:hAnsi="Times New Roman" w:cs="Times New Roman"/>
          <w:sz w:val="24"/>
          <w:szCs w:val="24"/>
        </w:rPr>
        <w:tab/>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rPr>
      </w:pPr>
    </w:p>
    <w:p w:rsidR="0021060C" w:rsidRPr="008105E2" w:rsidRDefault="0021060C" w:rsidP="0021060C">
      <w:pPr>
        <w:tabs>
          <w:tab w:val="left" w:pos="284"/>
        </w:tabs>
        <w:spacing w:after="0" w:line="360" w:lineRule="auto"/>
        <w:jc w:val="both"/>
        <w:rPr>
          <w:rFonts w:ascii="Times New Roman" w:eastAsia="Calibri" w:hAnsi="Times New Roman" w:cs="Times New Roman"/>
          <w:sz w:val="36"/>
          <w:szCs w:val="36"/>
        </w:rPr>
      </w:pPr>
    </w:p>
    <w:p w:rsidR="0021060C" w:rsidRPr="008105E2" w:rsidRDefault="0021060C" w:rsidP="0021060C">
      <w:pPr>
        <w:tabs>
          <w:tab w:val="left" w:pos="284"/>
        </w:tabs>
        <w:spacing w:after="0" w:line="360" w:lineRule="auto"/>
        <w:jc w:val="center"/>
        <w:rPr>
          <w:rFonts w:ascii="Times New Roman" w:eastAsia="Calibri" w:hAnsi="Times New Roman" w:cs="Times New Roman"/>
          <w:b/>
          <w:color w:val="002060"/>
          <w:sz w:val="36"/>
          <w:szCs w:val="36"/>
          <w:lang w:val="en-US"/>
        </w:rPr>
      </w:pPr>
      <w:r w:rsidRPr="008105E2">
        <w:rPr>
          <w:rFonts w:ascii="Times New Roman" w:eastAsia="Calibri" w:hAnsi="Times New Roman" w:cs="Times New Roman"/>
          <w:b/>
          <w:color w:val="002060"/>
          <w:sz w:val="36"/>
          <w:szCs w:val="36"/>
          <w:lang w:val="en-US"/>
        </w:rPr>
        <w:t>VIII. SUMMARY</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p>
    <w:p w:rsidR="0021060C" w:rsidRPr="008105E2" w:rsidRDefault="0021060C" w:rsidP="0021060C">
      <w:pPr>
        <w:spacing w:after="160" w:line="259" w:lineRule="auto"/>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br w:type="page"/>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lastRenderedPageBreak/>
        <w:tab/>
        <w:t xml:space="preserve">Problems considered with drug administration for pediatric population and their pharmacotherapy arise from the lack of an appropriate dosage form which would be easy to swallow, acceptable for a child and available in a dose suitable for wide range of age. The common practice in </w:t>
      </w:r>
      <w:proofErr w:type="spellStart"/>
      <w:r w:rsidRPr="008105E2">
        <w:rPr>
          <w:rFonts w:ascii="Times New Roman" w:eastAsia="Calibri" w:hAnsi="Times New Roman" w:cs="Times New Roman"/>
          <w:sz w:val="24"/>
          <w:szCs w:val="24"/>
          <w:lang w:val="en-US"/>
        </w:rPr>
        <w:t>pediatry</w:t>
      </w:r>
      <w:proofErr w:type="spellEnd"/>
      <w:r w:rsidRPr="008105E2">
        <w:rPr>
          <w:rFonts w:ascii="Times New Roman" w:eastAsia="Calibri" w:hAnsi="Times New Roman" w:cs="Times New Roman"/>
          <w:sz w:val="24"/>
          <w:szCs w:val="24"/>
          <w:lang w:val="en-US"/>
        </w:rPr>
        <w:t xml:space="preserve"> is using tablets for adults, without pediatric license </w:t>
      </w:r>
      <w:r w:rsidRPr="008105E2">
        <w:rPr>
          <w:rFonts w:ascii="Times New Roman" w:eastAsia="Calibri" w:hAnsi="Times New Roman" w:cs="Times New Roman"/>
          <w:sz w:val="24"/>
          <w:szCs w:val="24"/>
          <w:lang w:val="en-US"/>
        </w:rPr>
        <w:br/>
        <w:t xml:space="preserve">(off label use) and afterwards for obtaining a proper pediatric dose the tablets are divided or crushed. In pharmacies pediatric powders are often prepared, compounded  from the drug substance </w:t>
      </w:r>
      <w:r w:rsidRPr="008105E2">
        <w:rPr>
          <w:rFonts w:ascii="Times New Roman" w:eastAsia="Calibri" w:hAnsi="Times New Roman" w:cs="Times New Roman"/>
          <w:i/>
          <w:sz w:val="24"/>
          <w:szCs w:val="24"/>
          <w:lang w:val="en-US"/>
        </w:rPr>
        <w:t xml:space="preserve">pro </w:t>
      </w:r>
      <w:proofErr w:type="spellStart"/>
      <w:r w:rsidRPr="008105E2">
        <w:rPr>
          <w:rFonts w:ascii="Times New Roman" w:eastAsia="Calibri" w:hAnsi="Times New Roman" w:cs="Times New Roman"/>
          <w:i/>
          <w:sz w:val="24"/>
          <w:szCs w:val="24"/>
          <w:lang w:val="en-US"/>
        </w:rPr>
        <w:t>receptura</w:t>
      </w:r>
      <w:proofErr w:type="spellEnd"/>
      <w:r w:rsidRPr="008105E2">
        <w:rPr>
          <w:rFonts w:ascii="Times New Roman" w:eastAsia="Calibri" w:hAnsi="Times New Roman" w:cs="Times New Roman"/>
          <w:sz w:val="24"/>
          <w:szCs w:val="24"/>
          <w:lang w:val="en-US"/>
        </w:rPr>
        <w:t xml:space="preserve"> or from tablets or capsules. However, in the USA and Western Europe extemporaneous liquid dosage forms – syrups – are preferred.</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t>Commercial suspending vehicles are commonly used for compounding of such preparations, however they are actually unavailable in Poland. The aim of the present study was to choose appropriate suspending vehicles for syrups compounded from tablets available on the Polish market. The commercial (</w:t>
      </w:r>
      <w:r w:rsidRPr="008105E2">
        <w:rPr>
          <w:rFonts w:ascii="Times New Roman" w:eastAsia="Calibri" w:hAnsi="Times New Roman" w:cs="Times New Roman"/>
          <w:i/>
          <w:sz w:val="24"/>
          <w:szCs w:val="24"/>
          <w:lang w:val="en-US"/>
        </w:rPr>
        <w:t>Ora</w:t>
      </w:r>
      <w:r w:rsidRPr="008105E2">
        <w:rPr>
          <w:rFonts w:ascii="Times New Roman" w:eastAsia="Calibri" w:hAnsi="Times New Roman" w:cs="Times New Roman"/>
          <w:i/>
          <w:sz w:val="24"/>
          <w:szCs w:val="24"/>
          <w:vertAlign w:val="superscript"/>
          <w:lang w:val="en-US"/>
        </w:rPr>
        <w:t>®</w:t>
      </w:r>
      <w:r w:rsidRPr="008105E2">
        <w:rPr>
          <w:rFonts w:ascii="Times New Roman" w:eastAsia="Calibri" w:hAnsi="Times New Roman" w:cs="Times New Roman"/>
          <w:i/>
          <w:sz w:val="24"/>
          <w:szCs w:val="24"/>
          <w:lang w:val="en-US"/>
        </w:rPr>
        <w:t xml:space="preserve"> products</w:t>
      </w:r>
      <w:r w:rsidRPr="008105E2">
        <w:rPr>
          <w:rFonts w:ascii="Times New Roman" w:eastAsia="Calibri" w:hAnsi="Times New Roman" w:cs="Times New Roman"/>
          <w:sz w:val="24"/>
          <w:szCs w:val="24"/>
          <w:lang w:val="en-US"/>
        </w:rPr>
        <w:t xml:space="preserve">) and </w:t>
      </w:r>
      <w:proofErr w:type="spellStart"/>
      <w:r w:rsidRPr="008105E2">
        <w:rPr>
          <w:rFonts w:ascii="Times New Roman" w:eastAsia="Calibri" w:hAnsi="Times New Roman" w:cs="Times New Roman"/>
          <w:sz w:val="24"/>
          <w:szCs w:val="24"/>
          <w:lang w:val="en-US"/>
        </w:rPr>
        <w:t>pharmacopoeial</w:t>
      </w:r>
      <w:proofErr w:type="spellEnd"/>
      <w:r w:rsidRPr="008105E2">
        <w:rPr>
          <w:rFonts w:ascii="Times New Roman" w:eastAsia="Calibri" w:hAnsi="Times New Roman" w:cs="Times New Roman"/>
          <w:sz w:val="24"/>
          <w:szCs w:val="24"/>
          <w:lang w:val="en-US"/>
        </w:rPr>
        <w:t xml:space="preserve"> (</w:t>
      </w:r>
      <w:r w:rsidRPr="008105E2">
        <w:rPr>
          <w:rFonts w:ascii="Times New Roman" w:eastAsia="Calibri" w:hAnsi="Times New Roman" w:cs="Times New Roman"/>
          <w:i/>
          <w:sz w:val="24"/>
          <w:szCs w:val="24"/>
          <w:lang w:val="en-US"/>
        </w:rPr>
        <w:t>USP39/NF34</w:t>
      </w:r>
      <w:r w:rsidRPr="008105E2">
        <w:rPr>
          <w:rFonts w:ascii="Times New Roman" w:eastAsia="Calibri" w:hAnsi="Times New Roman" w:cs="Times New Roman"/>
          <w:sz w:val="24"/>
          <w:szCs w:val="24"/>
          <w:lang w:val="en-US"/>
        </w:rPr>
        <w:t xml:space="preserve">) as well as compounded vehicles with simple composition, possible </w:t>
      </w:r>
      <w:r w:rsidRPr="008105E2">
        <w:rPr>
          <w:rFonts w:ascii="Times New Roman" w:eastAsia="Calibri" w:hAnsi="Times New Roman" w:cs="Times New Roman"/>
          <w:sz w:val="24"/>
          <w:szCs w:val="24"/>
          <w:lang w:val="en-US"/>
        </w:rPr>
        <w:br/>
        <w:t xml:space="preserve">to prepare in pharmacy, were compared. According to the analysis of the range </w:t>
      </w:r>
      <w:r w:rsidRPr="008105E2">
        <w:rPr>
          <w:rFonts w:ascii="Times New Roman" w:eastAsia="Calibri" w:hAnsi="Times New Roman" w:cs="Times New Roman"/>
          <w:sz w:val="24"/>
          <w:szCs w:val="24"/>
          <w:lang w:val="en-US"/>
        </w:rPr>
        <w:br/>
        <w:t xml:space="preserve">of medicines prepared for children in hospital pharmacies (from 2007 – 2017 years) the following drug substances for further studies were chosen: valsartan (VAL), candesartan </w:t>
      </w:r>
      <w:proofErr w:type="spellStart"/>
      <w:r w:rsidRPr="008105E2">
        <w:rPr>
          <w:rFonts w:ascii="Times New Roman" w:eastAsia="Calibri" w:hAnsi="Times New Roman" w:cs="Times New Roman"/>
          <w:sz w:val="24"/>
          <w:szCs w:val="24"/>
          <w:lang w:val="en-US"/>
        </w:rPr>
        <w:t>cilexetil</w:t>
      </w:r>
      <w:proofErr w:type="spellEnd"/>
      <w:r w:rsidRPr="008105E2">
        <w:rPr>
          <w:rFonts w:ascii="Times New Roman" w:eastAsia="Calibri" w:hAnsi="Times New Roman" w:cs="Times New Roman"/>
          <w:sz w:val="24"/>
          <w:szCs w:val="24"/>
          <w:lang w:val="en-US"/>
        </w:rPr>
        <w:t xml:space="preserve"> (CC), carvedilol (CARV), propranolol hydrochloride (PROP), prednisone (PRED) and theophylline (TEO).</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t xml:space="preserve">In the study the physiochemical stability of prepared suspending vehicles and syrups with added powdered tablets were evaluated. According to the results from stability studies carried out for 35 days at room and refrigeration temperatures, it was concluded that either </w:t>
      </w:r>
      <w:proofErr w:type="spellStart"/>
      <w:r w:rsidRPr="008105E2">
        <w:rPr>
          <w:rFonts w:ascii="Times New Roman" w:eastAsia="Calibri" w:hAnsi="Times New Roman" w:cs="Times New Roman"/>
          <w:sz w:val="24"/>
          <w:szCs w:val="24"/>
          <w:lang w:val="en-US"/>
        </w:rPr>
        <w:t>pharmacopoeial</w:t>
      </w:r>
      <w:proofErr w:type="spellEnd"/>
      <w:r w:rsidRPr="008105E2">
        <w:rPr>
          <w:rFonts w:ascii="Times New Roman" w:eastAsia="Calibri" w:hAnsi="Times New Roman" w:cs="Times New Roman"/>
          <w:sz w:val="24"/>
          <w:szCs w:val="24"/>
          <w:lang w:val="en-US"/>
        </w:rPr>
        <w:t xml:space="preserve"> or compounded vehicles allow to prepare stable syrups with VAL, CC, CARV, PRED and PROP tablets. The microbiological stability was confirmed for syrups not only with but also without preservatives (with 54% of sucrose in syrup). Unfortunately it was impossible to obtain syrups with PRED, where none of the used suspending vehicles eliminated bitter taste of PRED. On the other hand, in syrups with TEO fast crystallization was observed in all studied suspending vehicle.</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t>The next stage of the study was to propose and prepare oral gels as a new and alternative dosage form, attractive for children. The application and physical properties of the gels prepared with cellulose derivatives (</w:t>
      </w:r>
      <w:proofErr w:type="spellStart"/>
      <w:r w:rsidRPr="008105E2">
        <w:rPr>
          <w:rFonts w:ascii="Times New Roman" w:eastAsia="Calibri" w:hAnsi="Times New Roman" w:cs="Times New Roman"/>
          <w:sz w:val="24"/>
          <w:szCs w:val="24"/>
          <w:lang w:val="en-US"/>
        </w:rPr>
        <w:t>hydroxyethylcellulose</w:t>
      </w:r>
      <w:proofErr w:type="spellEnd"/>
      <w:r w:rsidRPr="008105E2">
        <w:rPr>
          <w:rFonts w:ascii="Times New Roman" w:eastAsia="Calibri" w:hAnsi="Times New Roman" w:cs="Times New Roman"/>
          <w:sz w:val="24"/>
          <w:szCs w:val="24"/>
          <w:lang w:val="en-US"/>
        </w:rPr>
        <w:t xml:space="preserve"> and </w:t>
      </w:r>
      <w:proofErr w:type="spellStart"/>
      <w:r w:rsidRPr="008105E2">
        <w:rPr>
          <w:rFonts w:ascii="Times New Roman" w:eastAsia="Calibri" w:hAnsi="Times New Roman" w:cs="Times New Roman"/>
          <w:sz w:val="24"/>
          <w:szCs w:val="24"/>
          <w:lang w:val="en-US"/>
        </w:rPr>
        <w:t>carmellose</w:t>
      </w:r>
      <w:proofErr w:type="spellEnd"/>
      <w:r w:rsidRPr="008105E2">
        <w:rPr>
          <w:rFonts w:ascii="Times New Roman" w:eastAsia="Calibri" w:hAnsi="Times New Roman" w:cs="Times New Roman"/>
          <w:sz w:val="24"/>
          <w:szCs w:val="24"/>
          <w:lang w:val="en-US"/>
        </w:rPr>
        <w:t xml:space="preserve"> sodium) or </w:t>
      </w:r>
      <w:proofErr w:type="spellStart"/>
      <w:r w:rsidRPr="008105E2">
        <w:rPr>
          <w:rFonts w:ascii="Times New Roman" w:eastAsia="Calibri" w:hAnsi="Times New Roman" w:cs="Times New Roman"/>
          <w:sz w:val="24"/>
          <w:szCs w:val="24"/>
          <w:lang w:val="en-US"/>
        </w:rPr>
        <w:t>carbomer</w:t>
      </w:r>
      <w:proofErr w:type="spellEnd"/>
      <w:r w:rsidRPr="008105E2">
        <w:rPr>
          <w:rFonts w:ascii="Times New Roman" w:eastAsia="Calibri" w:hAnsi="Times New Roman" w:cs="Times New Roman"/>
          <w:sz w:val="24"/>
          <w:szCs w:val="24"/>
          <w:lang w:val="en-US"/>
        </w:rPr>
        <w:t xml:space="preserve"> were evaluated. The results of the studies showed the most applicable consistency, viscosity and organoleptic properties for gels prepared with </w:t>
      </w:r>
      <w:proofErr w:type="spellStart"/>
      <w:r w:rsidRPr="008105E2">
        <w:rPr>
          <w:rFonts w:ascii="Times New Roman" w:eastAsia="Calibri" w:hAnsi="Times New Roman" w:cs="Times New Roman"/>
          <w:sz w:val="24"/>
          <w:szCs w:val="24"/>
          <w:lang w:val="en-US"/>
        </w:rPr>
        <w:t>carbomer</w:t>
      </w:r>
      <w:proofErr w:type="spellEnd"/>
      <w:r w:rsidRPr="008105E2">
        <w:rPr>
          <w:rFonts w:ascii="Times New Roman" w:eastAsia="Calibri" w:hAnsi="Times New Roman" w:cs="Times New Roman"/>
          <w:sz w:val="24"/>
          <w:szCs w:val="24"/>
          <w:lang w:val="en-US"/>
        </w:rPr>
        <w:t xml:space="preserve"> and cellulose derivatives in concentrations of 0.75 % and 2.0%, respectively.</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lastRenderedPageBreak/>
        <w:tab/>
        <w:t xml:space="preserve">Extemporaneous compounded gels with those polymers and VAL or CC tablets were stable for at least 14 days. However the chemical stability of VAL </w:t>
      </w:r>
      <w:r w:rsidRPr="008105E2">
        <w:rPr>
          <w:rFonts w:ascii="Times New Roman" w:eastAsia="Calibri" w:hAnsi="Times New Roman" w:cs="Times New Roman"/>
          <w:sz w:val="24"/>
          <w:szCs w:val="24"/>
          <w:lang w:val="en-US"/>
        </w:rPr>
        <w:br/>
        <w:t xml:space="preserve">in </w:t>
      </w:r>
      <w:proofErr w:type="spellStart"/>
      <w:r w:rsidRPr="008105E2">
        <w:rPr>
          <w:rFonts w:ascii="Times New Roman" w:eastAsia="Calibri" w:hAnsi="Times New Roman" w:cs="Times New Roman"/>
          <w:sz w:val="24"/>
          <w:szCs w:val="24"/>
          <w:lang w:val="en-US"/>
        </w:rPr>
        <w:t>hydroxyethylcellulose</w:t>
      </w:r>
      <w:proofErr w:type="spellEnd"/>
      <w:r w:rsidRPr="008105E2">
        <w:rPr>
          <w:rFonts w:ascii="Times New Roman" w:eastAsia="Calibri" w:hAnsi="Times New Roman" w:cs="Times New Roman"/>
          <w:sz w:val="24"/>
          <w:szCs w:val="24"/>
          <w:lang w:val="en-US"/>
        </w:rPr>
        <w:t xml:space="preserve"> gels was not confirmed. The microbial stability of gels was guaranteed by use of </w:t>
      </w:r>
      <w:proofErr w:type="spellStart"/>
      <w:r w:rsidRPr="008105E2">
        <w:rPr>
          <w:rFonts w:ascii="Times New Roman" w:eastAsia="Calibri" w:hAnsi="Times New Roman" w:cs="Times New Roman"/>
          <w:sz w:val="24"/>
          <w:szCs w:val="24"/>
          <w:lang w:val="en-US"/>
        </w:rPr>
        <w:t>methylparaben</w:t>
      </w:r>
      <w:proofErr w:type="spellEnd"/>
      <w:r w:rsidRPr="008105E2">
        <w:rPr>
          <w:rFonts w:ascii="Times New Roman" w:eastAsia="Calibri" w:hAnsi="Times New Roman" w:cs="Times New Roman"/>
          <w:sz w:val="24"/>
          <w:szCs w:val="24"/>
          <w:lang w:val="en-US"/>
        </w:rPr>
        <w:t xml:space="preserve"> (0,1%) and potassium sorbate (0,1%).</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t xml:space="preserve">The important aspect of the study was to perform a survey research with </w:t>
      </w:r>
      <w:r w:rsidRPr="008105E2">
        <w:rPr>
          <w:rFonts w:ascii="Times New Roman" w:eastAsia="Calibri" w:hAnsi="Times New Roman" w:cs="Times New Roman"/>
          <w:sz w:val="24"/>
          <w:szCs w:val="24"/>
          <w:lang w:val="en-US"/>
        </w:rPr>
        <w:br/>
        <w:t xml:space="preserve">a questionnaire for pediatricians regarding the use of extemporaneous preparations for children under 6 years. Obtained results to the great extent confirmed the assumptions raised in the study related to pediatric drug compounding, indicating liquid dosage forms as better preparations, which would be preferably chosen as more appropriate for children than powders for which the manipulation (mixing with food or fluid) is necessary before administration.   </w:t>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r>
    </w:p>
    <w:p w:rsidR="0021060C" w:rsidRPr="008105E2" w:rsidRDefault="0021060C" w:rsidP="0021060C">
      <w:pPr>
        <w:tabs>
          <w:tab w:val="left" w:pos="284"/>
        </w:tabs>
        <w:spacing w:after="0" w:line="360" w:lineRule="auto"/>
        <w:jc w:val="both"/>
        <w:rPr>
          <w:rFonts w:ascii="Times New Roman" w:eastAsia="Calibri" w:hAnsi="Times New Roman" w:cs="Times New Roman"/>
          <w:sz w:val="24"/>
          <w:szCs w:val="24"/>
          <w:lang w:val="en-US"/>
        </w:rPr>
      </w:pPr>
      <w:r w:rsidRPr="008105E2">
        <w:rPr>
          <w:rFonts w:ascii="Times New Roman" w:eastAsia="Calibri" w:hAnsi="Times New Roman" w:cs="Times New Roman"/>
          <w:sz w:val="24"/>
          <w:szCs w:val="24"/>
          <w:lang w:val="en-US"/>
        </w:rPr>
        <w:tab/>
      </w: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lang w:val="en-US"/>
        </w:rPr>
      </w:pPr>
    </w:p>
    <w:p w:rsidR="0021060C" w:rsidRPr="008105E2" w:rsidRDefault="0021060C" w:rsidP="0021060C">
      <w:pPr>
        <w:tabs>
          <w:tab w:val="left" w:pos="426"/>
        </w:tabs>
        <w:spacing w:after="160" w:line="360" w:lineRule="auto"/>
        <w:jc w:val="both"/>
        <w:rPr>
          <w:rFonts w:ascii="Times New Roman" w:eastAsia="Calibri" w:hAnsi="Times New Roman" w:cs="Times New Roman"/>
          <w:sz w:val="24"/>
          <w:szCs w:val="24"/>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21060C" w:rsidRDefault="0021060C" w:rsidP="0021060C">
      <w:pPr>
        <w:rPr>
          <w:lang w:val="en-US"/>
        </w:rPr>
      </w:pPr>
    </w:p>
    <w:p w:rsidR="00C059C4" w:rsidRDefault="00C059C4"/>
    <w:sectPr w:rsidR="00C05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23" w:rsidRDefault="0021060C">
    <w:pPr>
      <w:pStyle w:val="Nagwek"/>
    </w:pPr>
    <w:r>
      <w:rPr>
        <w:noProof/>
        <w:lang w:eastAsia="pl-PL"/>
      </w:rPr>
      <mc:AlternateContent>
        <mc:Choice Requires="wpg">
          <w:drawing>
            <wp:anchor distT="0" distB="0" distL="114300" distR="114300" simplePos="0" relativeHeight="251659264" behindDoc="0" locked="0" layoutInCell="1" allowOverlap="1" wp14:anchorId="7B627530" wp14:editId="0B36A2E9">
              <wp:simplePos x="0" y="0"/>
              <wp:positionH relativeFrom="column">
                <wp:posOffset>0</wp:posOffset>
              </wp:positionH>
              <wp:positionV relativeFrom="paragraph">
                <wp:posOffset>-635</wp:posOffset>
              </wp:positionV>
              <wp:extent cx="5457825" cy="314325"/>
              <wp:effectExtent l="0" t="0" r="28575" b="0"/>
              <wp:wrapNone/>
              <wp:docPr id="3058" name="Grupa 3058"/>
              <wp:cNvGraphicFramePr/>
              <a:graphic xmlns:a="http://schemas.openxmlformats.org/drawingml/2006/main">
                <a:graphicData uri="http://schemas.microsoft.com/office/word/2010/wordprocessingGroup">
                  <wpg:wgp>
                    <wpg:cNvGrpSpPr/>
                    <wpg:grpSpPr>
                      <a:xfrm>
                        <a:off x="0" y="0"/>
                        <a:ext cx="5457825" cy="314325"/>
                        <a:chOff x="0" y="0"/>
                        <a:chExt cx="5457825" cy="314325"/>
                      </a:xfrm>
                    </wpg:grpSpPr>
                    <wps:wsp>
                      <wps:cNvPr id="3070" name="Łącznik prosty 3059"/>
                      <wps:cNvCnPr/>
                      <wps:spPr>
                        <a:xfrm>
                          <a:off x="0" y="238125"/>
                          <a:ext cx="5457825" cy="0"/>
                        </a:xfrm>
                        <a:prstGeom prst="line">
                          <a:avLst/>
                        </a:prstGeom>
                        <a:noFill/>
                        <a:ln w="19050" cap="flat" cmpd="sng" algn="ctr">
                          <a:solidFill>
                            <a:sysClr val="window" lastClr="FFFFFF">
                              <a:lumMod val="50000"/>
                            </a:sysClr>
                          </a:solidFill>
                          <a:prstDash val="solid"/>
                          <a:miter lim="800000"/>
                        </a:ln>
                        <a:effectLst/>
                      </wps:spPr>
                      <wps:bodyPr/>
                    </wps:wsp>
                    <wps:wsp>
                      <wps:cNvPr id="3071" name="Pole tekstowe 3060"/>
                      <wps:cNvSpPr txBox="1"/>
                      <wps:spPr>
                        <a:xfrm>
                          <a:off x="1943100" y="0"/>
                          <a:ext cx="3486150" cy="314325"/>
                        </a:xfrm>
                        <a:prstGeom prst="rect">
                          <a:avLst/>
                        </a:prstGeom>
                        <a:noFill/>
                        <a:ln w="6350">
                          <a:noFill/>
                        </a:ln>
                        <a:effectLst/>
                      </wps:spPr>
                      <wps:txbx>
                        <w:txbxContent>
                          <w:p w:rsidR="00A10023" w:rsidRPr="00430271" w:rsidRDefault="0021060C" w:rsidP="00EF1EDE">
                            <w:pPr>
                              <w:jc w:val="right"/>
                              <w:rPr>
                                <w:rFonts w:ascii="Times New Roman" w:hAnsi="Times New Roman" w:cs="Times New Roman"/>
                                <w:b/>
                                <w:i/>
                                <w:color w:val="808080" w:themeColor="background1" w:themeShade="80"/>
                                <w:sz w:val="24"/>
                                <w:szCs w:val="24"/>
                              </w:rPr>
                            </w:pPr>
                            <w:r>
                              <w:rPr>
                                <w:rFonts w:ascii="Times New Roman" w:hAnsi="Times New Roman" w:cs="Times New Roman"/>
                                <w:b/>
                                <w:i/>
                                <w:color w:val="808080" w:themeColor="background1" w:themeShade="80"/>
                                <w:sz w:val="24"/>
                                <w:szCs w:val="24"/>
                              </w:rPr>
                              <w:t>Streszczenie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a 3058" o:spid="_x0000_s1026" style="position:absolute;margin-left:0;margin-top:-.05pt;width:429.75pt;height:24.75pt;z-index:251659264" coordsize="5457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">
              <v:line id="Łącznik prosty 3059" o:spid="_x0000_s1027" style="position:absolute;visibility:visible;mso-wrap-style:square" from="0,2381" to="54578,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7/MIAAADdAAAADwAAAGRycy9kb3ducmV2LnhtbERPy4rCMBTdD/gP4QpuBk11xEc1LYNQ&#10;EGflA9eX5toWm5vSZGz16ycLYZaH896mvanFg1pXWVYwnUQgiHOrKy4UXM7ZeAXCeWSNtWVS8CQH&#10;aTL42GKsbcdHepx8IUIIuxgVlN43sZQuL8mgm9iGOHA32xr0AbaF1C12IdzUchZFC2mw4tBQYkO7&#10;kvL76dcoWH5m8z77ORKur+ag56+iWXCn1GjYf29AeOr9v/jt3msFX9Ey7A9vwhOQy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7/MIAAADdAAAADwAAAAAAAAAAAAAA&#10;AAChAgAAZHJzL2Rvd25yZXYueG1sUEsFBgAAAAAEAAQA+QAAAJADAAAAAA==&#10;" strokecolor="#7f7f7f" strokeweight="1.5pt">
                <v:stroke joinstyle="miter"/>
              </v:line>
              <v:shapetype id="_x0000_t202" coordsize="21600,21600" o:spt="202" path="m,l,21600r21600,l21600,xe">
                <v:stroke joinstyle="miter"/>
                <v:path gradientshapeok="t" o:connecttype="rect"/>
              </v:shapetype>
              <v:shape id="Pole tekstowe 3060" o:spid="_x0000_s1028" type="#_x0000_t202" style="position:absolute;left:19431;width:3486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G+MYA&#10;AADdAAAADwAAAGRycy9kb3ducmV2LnhtbESPT4vCMBTE74LfIbwFb5rq4q5Uo0hBVsQ9+Ofi7dk8&#10;27LNS22iVj+9EYQ9DjPzG2Yya0wprlS7wrKCfi8CQZxaXXCmYL9bdEcgnEfWWFomBXdyMJu2WxOM&#10;tb3xhq5bn4kAYRejgtz7KpbSpTkZdD1bEQfvZGuDPsg6k7rGW4CbUg6i6EsaLDgs5FhRklP6t70Y&#10;Batk8Yub48CMHmXysz7Nq/P+MFSq89HMxyA8Nf4//G4vtYLP6LsPrzfhCc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AG+MYAAADdAAAADwAAAAAAAAAAAAAAAACYAgAAZHJz&#10;L2Rvd25yZXYueG1sUEsFBgAAAAAEAAQA9QAAAIsDAAAAAA==&#10;" filled="f" stroked="f" strokeweight=".5pt">
                <v:textbox>
                  <w:txbxContent>
                    <w:p w:rsidR="00A10023" w:rsidRPr="00430271" w:rsidRDefault="0021060C" w:rsidP="00EF1EDE">
                      <w:pPr>
                        <w:jc w:val="right"/>
                        <w:rPr>
                          <w:rFonts w:ascii="Times New Roman" w:hAnsi="Times New Roman" w:cs="Times New Roman"/>
                          <w:b/>
                          <w:i/>
                          <w:color w:val="808080" w:themeColor="background1" w:themeShade="80"/>
                          <w:sz w:val="24"/>
                          <w:szCs w:val="24"/>
                        </w:rPr>
                      </w:pPr>
                      <w:r>
                        <w:rPr>
                          <w:rFonts w:ascii="Times New Roman" w:hAnsi="Times New Roman" w:cs="Times New Roman"/>
                          <w:b/>
                          <w:i/>
                          <w:color w:val="808080" w:themeColor="background1" w:themeShade="80"/>
                          <w:sz w:val="24"/>
                          <w:szCs w:val="24"/>
                        </w:rPr>
                        <w:t>Streszczenie</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0C"/>
    <w:rsid w:val="0021060C"/>
    <w:rsid w:val="00C05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6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06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060C"/>
  </w:style>
  <w:style w:type="paragraph" w:styleId="Tekstdymka">
    <w:name w:val="Balloon Text"/>
    <w:basedOn w:val="Normalny"/>
    <w:link w:val="TekstdymkaZnak"/>
    <w:uiPriority w:val="99"/>
    <w:semiHidden/>
    <w:unhideWhenUsed/>
    <w:rsid w:val="002106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0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6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06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060C"/>
  </w:style>
  <w:style w:type="paragraph" w:styleId="Tekstdymka">
    <w:name w:val="Balloon Text"/>
    <w:basedOn w:val="Normalny"/>
    <w:link w:val="TekstdymkaZnak"/>
    <w:uiPriority w:val="99"/>
    <w:semiHidden/>
    <w:unhideWhenUsed/>
    <w:rsid w:val="002106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10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2018-10-24T09:14:00Z</dcterms:created>
  <dcterms:modified xsi:type="dcterms:W3CDTF">2018-10-24T09:17:00Z</dcterms:modified>
</cp:coreProperties>
</file>