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2" w:rsidRDefault="00D74BE2" w:rsidP="00D74BE2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bookmarkStart w:id="0" w:name="_GoBack"/>
      <w:bookmarkEnd w:id="0"/>
      <w:r w:rsidRPr="00D27C62">
        <w:rPr>
          <w:rFonts w:ascii="Times New Roman" w:hAnsi="Times New Roman" w:cs="Times New Roman"/>
          <w:b/>
          <w:color w:val="00B050"/>
          <w:sz w:val="24"/>
          <w:szCs w:val="24"/>
        </w:rPr>
        <w:t>Przewody doktorskie</w:t>
      </w:r>
      <w:r w:rsidRPr="00D27C62">
        <w:rPr>
          <w:rFonts w:ascii="Times New Roman" w:hAnsi="Times New Roman" w:cs="Times New Roman"/>
          <w:color w:val="00B050"/>
          <w:sz w:val="24"/>
          <w:szCs w:val="24"/>
        </w:rPr>
        <w:t xml:space="preserve"> będą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27C62">
        <w:rPr>
          <w:rFonts w:ascii="Times New Roman" w:hAnsi="Times New Roman" w:cs="Times New Roman"/>
          <w:color w:val="00B050"/>
          <w:sz w:val="24"/>
          <w:szCs w:val="24"/>
        </w:rPr>
        <w:t xml:space="preserve">wszczynane wraz z przedłożeniem rozprawy doktorskiej. </w:t>
      </w:r>
      <w:r>
        <w:rPr>
          <w:rFonts w:ascii="Times New Roman" w:hAnsi="Times New Roman" w:cs="Times New Roman"/>
          <w:color w:val="00B050"/>
          <w:sz w:val="24"/>
          <w:szCs w:val="24"/>
        </w:rPr>
        <w:t>Powołanie promotorów nastąpi</w:t>
      </w:r>
      <w:r w:rsidRPr="00D27C62">
        <w:rPr>
          <w:rFonts w:ascii="Times New Roman" w:hAnsi="Times New Roman" w:cs="Times New Roman"/>
          <w:color w:val="00B050"/>
          <w:sz w:val="24"/>
          <w:szCs w:val="24"/>
        </w:rPr>
        <w:t xml:space="preserve"> wcześniej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–</w:t>
      </w:r>
      <w:r w:rsidRPr="00D27C62">
        <w:rPr>
          <w:rFonts w:ascii="Times New Roman" w:hAnsi="Times New Roman" w:cs="Times New Roman"/>
          <w:color w:val="00B050"/>
          <w:sz w:val="24"/>
          <w:szCs w:val="24"/>
        </w:rPr>
        <w:t xml:space="preserve"> przed wszczęciem przewodu. </w:t>
      </w:r>
    </w:p>
    <w:p w:rsidR="00D74BE2" w:rsidRPr="00D27C62" w:rsidRDefault="00D74BE2" w:rsidP="00D74BE2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27C62">
        <w:rPr>
          <w:rFonts w:ascii="Times New Roman" w:hAnsi="Times New Roman" w:cs="Times New Roman"/>
          <w:color w:val="00B050"/>
          <w:sz w:val="24"/>
          <w:szCs w:val="24"/>
        </w:rPr>
        <w:t xml:space="preserve">Rozprawa doktorska </w:t>
      </w:r>
      <w:r>
        <w:rPr>
          <w:rFonts w:ascii="Times New Roman" w:hAnsi="Times New Roman" w:cs="Times New Roman"/>
          <w:color w:val="00B050"/>
          <w:sz w:val="24"/>
          <w:szCs w:val="24"/>
        </w:rPr>
        <w:t>(</w:t>
      </w:r>
      <w:r w:rsidRPr="00D27C62">
        <w:rPr>
          <w:rFonts w:ascii="Times New Roman" w:hAnsi="Times New Roman" w:cs="Times New Roman"/>
          <w:color w:val="00B050"/>
          <w:sz w:val="24"/>
          <w:szCs w:val="24"/>
        </w:rPr>
        <w:t>ze streszczeniem</w:t>
      </w:r>
      <w:r>
        <w:rPr>
          <w:rFonts w:ascii="Times New Roman" w:hAnsi="Times New Roman" w:cs="Times New Roman"/>
          <w:color w:val="00B050"/>
          <w:sz w:val="24"/>
          <w:szCs w:val="24"/>
        </w:rPr>
        <w:t>)</w:t>
      </w:r>
      <w:r w:rsidRPr="00D27C62">
        <w:rPr>
          <w:rFonts w:ascii="Times New Roman" w:hAnsi="Times New Roman" w:cs="Times New Roman"/>
          <w:color w:val="00B050"/>
          <w:sz w:val="24"/>
          <w:szCs w:val="24"/>
        </w:rPr>
        <w:t xml:space="preserve"> powinna być udostępniona na stronie internetowej Uczelni min. 30 dni przed obroną.</w:t>
      </w:r>
    </w:p>
    <w:p w:rsidR="00D74BE2" w:rsidRPr="00D27C62" w:rsidRDefault="00D74BE2" w:rsidP="00D74BE2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Uczelnia powołuje </w:t>
      </w:r>
      <w:r w:rsidRPr="007B620D">
        <w:rPr>
          <w:rFonts w:ascii="Times New Roman" w:hAnsi="Times New Roman" w:cs="Times New Roman"/>
          <w:b/>
          <w:color w:val="00B050"/>
          <w:sz w:val="24"/>
          <w:szCs w:val="24"/>
        </w:rPr>
        <w:t>trzech recenzentów</w:t>
      </w:r>
      <w:r w:rsidRPr="00D27C6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spoza swoich pracowników</w:t>
      </w:r>
      <w:r w:rsidRPr="00D27C62">
        <w:rPr>
          <w:rFonts w:ascii="Times New Roman" w:hAnsi="Times New Roman" w:cs="Times New Roman"/>
          <w:color w:val="00B050"/>
          <w:sz w:val="24"/>
          <w:szCs w:val="24"/>
        </w:rPr>
        <w:t>. Pozytywne dwie recenzję umożliwiają przyjęcie rozprawy i dopuszczenie do obrony.</w:t>
      </w:r>
    </w:p>
    <w:p w:rsidR="001C6718" w:rsidRDefault="001C6718"/>
    <w:sectPr w:rsidR="001C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2"/>
    <w:rsid w:val="001C6718"/>
    <w:rsid w:val="00D74BE2"/>
    <w:rsid w:val="00E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2</cp:revision>
  <dcterms:created xsi:type="dcterms:W3CDTF">2019-04-02T08:03:00Z</dcterms:created>
  <dcterms:modified xsi:type="dcterms:W3CDTF">2019-04-02T08:03:00Z</dcterms:modified>
</cp:coreProperties>
</file>