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DD" w:rsidRDefault="006D6DDD" w:rsidP="006D6DDD">
      <w:pPr>
        <w:spacing w:after="120"/>
        <w:ind w:left="-993" w:right="-99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lang w:eastAsia="pl-PL"/>
        </w:rPr>
        <w:t>Załącznik nr 1 do Uchwały Rady Wydziału Farmaceutycznego z Oddziałem Medycyny Laboratoryjnej nr 141/18 z dnia 28.06.2018 r.</w:t>
      </w:r>
      <w:r>
        <w:rPr>
          <w:rFonts w:ascii="Times New Roman" w:hAnsi="Times New Roman"/>
          <w:b/>
          <w:sz w:val="24"/>
          <w:szCs w:val="24"/>
        </w:rPr>
        <w:br/>
      </w:r>
    </w:p>
    <w:p w:rsidR="006D6DDD" w:rsidRDefault="006D6DDD" w:rsidP="006D6DDD">
      <w:pPr>
        <w:pStyle w:val="Bezodstpw"/>
        <w:spacing w:line="276" w:lineRule="auto"/>
        <w:ind w:left="-851" w:right="-853"/>
        <w:jc w:val="both"/>
        <w:rPr>
          <w:b/>
          <w:sz w:val="24"/>
          <w:szCs w:val="24"/>
        </w:rPr>
      </w:pPr>
    </w:p>
    <w:p w:rsidR="006D6DDD" w:rsidRDefault="006D6DDD" w:rsidP="006D6DDD">
      <w:pPr>
        <w:pStyle w:val="Bezodstpw"/>
        <w:spacing w:line="276" w:lineRule="auto"/>
        <w:ind w:left="-851" w:right="-853"/>
        <w:rPr>
          <w:b/>
          <w:sz w:val="22"/>
          <w:szCs w:val="22"/>
        </w:rPr>
      </w:pPr>
      <w:r>
        <w:rPr>
          <w:b/>
          <w:sz w:val="22"/>
          <w:szCs w:val="22"/>
        </w:rPr>
        <w:t>Studia III stopnia (doktoranckie) – stacjonarne</w:t>
      </w:r>
    </w:p>
    <w:p w:rsidR="006D6DDD" w:rsidRDefault="006D6DDD" w:rsidP="006D6DDD">
      <w:pPr>
        <w:pStyle w:val="Bezodstpw"/>
        <w:spacing w:line="276" w:lineRule="auto"/>
        <w:ind w:left="-851" w:right="-853"/>
        <w:rPr>
          <w:b/>
          <w:sz w:val="22"/>
          <w:szCs w:val="22"/>
        </w:rPr>
      </w:pPr>
      <w:r>
        <w:rPr>
          <w:b/>
          <w:sz w:val="24"/>
          <w:szCs w:val="24"/>
        </w:rPr>
        <w:t>S</w:t>
      </w:r>
      <w:r>
        <w:rPr>
          <w:b/>
          <w:snapToGrid w:val="0"/>
          <w:sz w:val="24"/>
          <w:szCs w:val="24"/>
        </w:rPr>
        <w:t>tudia doktoranckie w dziedzinie nauk medycznych i nauk farmaceutycznych</w:t>
      </w:r>
    </w:p>
    <w:p w:rsidR="006D6DDD" w:rsidRDefault="006D6DDD" w:rsidP="006D6DDD">
      <w:pPr>
        <w:pStyle w:val="Bezodstpw"/>
        <w:spacing w:line="276" w:lineRule="auto"/>
        <w:ind w:left="-567"/>
        <w:rPr>
          <w:b/>
          <w:sz w:val="22"/>
          <w:szCs w:val="22"/>
        </w:rPr>
      </w:pPr>
    </w:p>
    <w:p w:rsidR="006D6DDD" w:rsidRDefault="006D6DDD" w:rsidP="006D6DDD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 STUDIÓW – rok akademicki 2020/2021 – wg cyklu kształcenia 2018 – 2022</w:t>
      </w:r>
    </w:p>
    <w:tbl>
      <w:tblPr>
        <w:tblpPr w:leftFromText="141" w:rightFromText="141" w:vertAnchor="text" w:horzAnchor="margin" w:tblpXSpec="center" w:tblpY="164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13"/>
        <w:gridCol w:w="567"/>
        <w:gridCol w:w="567"/>
        <w:gridCol w:w="567"/>
        <w:gridCol w:w="708"/>
        <w:gridCol w:w="709"/>
        <w:gridCol w:w="641"/>
      </w:tblGrid>
      <w:tr w:rsidR="006D6DDD" w:rsidTr="006D6DDD">
        <w:trPr>
          <w:trHeight w:val="23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modułu/przedmiotu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 zajęć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</w:t>
            </w:r>
          </w:p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zaliczenia</w:t>
            </w:r>
          </w:p>
        </w:tc>
      </w:tr>
      <w:tr w:rsidR="006D6DDD" w:rsidTr="006D6DDD">
        <w:trPr>
          <w:trHeight w:val="23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III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DDD" w:rsidTr="006D6DDD"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DDD" w:rsidTr="006D6DDD">
        <w:trPr>
          <w:trHeight w:val="122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6DDD" w:rsidRDefault="006D6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DDD" w:rsidTr="006D6DDD">
        <w:trPr>
          <w:trHeight w:val="25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Metodologia badań naukowych III: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DDD" w:rsidTr="006D6DDD">
        <w:trPr>
          <w:trHeight w:val="466"/>
        </w:trPr>
        <w:tc>
          <w:tcPr>
            <w:tcW w:w="568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 w:rsidP="00DD166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Metabolomika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identyfikacji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biomarkerów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chorób oraz punktów uchwytu farmakoterapii</w:t>
            </w:r>
          </w:p>
          <w:p w:rsidR="006D6DDD" w:rsidRDefault="00850E9C" w:rsidP="00850E9C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Egz.</w:t>
            </w:r>
          </w:p>
        </w:tc>
      </w:tr>
      <w:tr w:rsidR="006D6DDD" w:rsidTr="006D6DDD">
        <w:trPr>
          <w:trHeight w:val="543"/>
        </w:trPr>
        <w:tc>
          <w:tcPr>
            <w:tcW w:w="568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 w:rsidP="00DD1661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Zastosowanie przyżyciowej mikroskopii konfokalnej w badaniach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biomedyczno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farmaceutycznych  </w:t>
            </w:r>
          </w:p>
          <w:p w:rsidR="006D6DDD" w:rsidRDefault="006D6DDD" w:rsidP="00EF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="00850E9C">
              <w:rPr>
                <w:rFonts w:ascii="Times New Roman" w:hAnsi="Times New Roman"/>
                <w:i/>
                <w:sz w:val="18"/>
                <w:szCs w:val="18"/>
              </w:rPr>
              <w:t>Z</w:t>
            </w:r>
            <w:r w:rsidR="00EF686C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850E9C">
              <w:rPr>
                <w:rFonts w:ascii="Times New Roman" w:hAnsi="Times New Roman"/>
                <w:i/>
                <w:sz w:val="18"/>
                <w:szCs w:val="18"/>
              </w:rPr>
              <w:t>kład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Biofarmacji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6DDD" w:rsidRDefault="006D6D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DDD" w:rsidTr="006D6DDD">
        <w:trPr>
          <w:trHeight w:val="525"/>
        </w:trPr>
        <w:tc>
          <w:tcPr>
            <w:tcW w:w="568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 w:rsidP="00DD166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Zastosowanie technik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immunoblotingu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badaniach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biomedyczno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farmaceutycznych</w:t>
            </w:r>
          </w:p>
          <w:p w:rsidR="006D6DDD" w:rsidRDefault="006D6DDD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Zakład Immunologii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DDD" w:rsidTr="006D6DDD">
        <w:tc>
          <w:tcPr>
            <w:tcW w:w="56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Fakultet zawodowy II </w:t>
            </w:r>
            <w:r>
              <w:rPr>
                <w:rFonts w:ascii="Times New Roman" w:hAnsi="Times New Roman"/>
                <w:sz w:val="20"/>
                <w:szCs w:val="20"/>
              </w:rPr>
              <w:t>(do wyboru 3 tematy):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>Choroby cywilizacyjne jako problem interdyscyplinarny (10 h)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Zakład Chemii Leków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 xml:space="preserve">Immunologiczne aspekty badań </w:t>
            </w:r>
            <w:proofErr w:type="spellStart"/>
            <w:r>
              <w:t>biomedyczno</w:t>
            </w:r>
            <w:proofErr w:type="spellEnd"/>
            <w:r>
              <w:t xml:space="preserve"> - farmaceutycznych </w:t>
            </w:r>
          </w:p>
          <w:p w:rsidR="006D6DDD" w:rsidRDefault="006D6DDD">
            <w:pPr>
              <w:pStyle w:val="Bezodstpw"/>
              <w:ind w:left="283"/>
              <w:jc w:val="both"/>
            </w:pPr>
            <w:r>
              <w:t>(10 h)</w:t>
            </w:r>
            <w:r>
              <w:rPr>
                <w:b/>
              </w:rPr>
              <w:t xml:space="preserve"> 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Zakład Immunologii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>Postępy w biologii molekularnej (10 h)</w:t>
            </w:r>
          </w:p>
          <w:p w:rsidR="006D6DDD" w:rsidRDefault="006D6DDD">
            <w:pPr>
              <w:pStyle w:val="Bezodstpw"/>
              <w:ind w:left="-1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Zakład Chemii Medycznej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 xml:space="preserve">Metody biotechnologiczne w badaniach </w:t>
            </w:r>
            <w:proofErr w:type="spellStart"/>
            <w:r>
              <w:t>biomedyczno</w:t>
            </w:r>
            <w:proofErr w:type="spellEnd"/>
            <w:r>
              <w:t xml:space="preserve"> -farmaceutycznych (10 h)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850E9C">
              <w:rPr>
                <w:i/>
                <w:sz w:val="18"/>
                <w:szCs w:val="18"/>
              </w:rPr>
              <w:t>Zakład</w:t>
            </w:r>
            <w:r>
              <w:rPr>
                <w:i/>
                <w:sz w:val="18"/>
                <w:szCs w:val="18"/>
              </w:rPr>
              <w:t xml:space="preserve"> Biotechnologii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>Farmakoterapia chorób nowotworowych (10 h)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Zakład Chemii Leków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>Badania receptorowe na izolowanych narządach (10 h)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Zakład Fizjologii i Patofizjologii Doświadczalnej</w:t>
            </w:r>
          </w:p>
          <w:p w:rsidR="006D6DDD" w:rsidRDefault="006D6DDD" w:rsidP="00DD1661">
            <w:pPr>
              <w:pStyle w:val="Bezodstpw"/>
              <w:numPr>
                <w:ilvl w:val="0"/>
                <w:numId w:val="4"/>
              </w:numPr>
              <w:ind w:left="283" w:hanging="218"/>
              <w:jc w:val="both"/>
            </w:pPr>
            <w:r>
              <w:t>Badania przedkliniczne nowych związków o potencjalnym znaczeniu w patofizjologii układu krążenia (10 h)</w:t>
            </w:r>
          </w:p>
          <w:p w:rsidR="006D6DDD" w:rsidRDefault="006D6DD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Zakład Fizjologii i Patofizjologii Doświadczalnej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r>
              <w:rPr>
                <w:spacing w:val="-20"/>
              </w:rPr>
              <w:t>3</w:t>
            </w:r>
            <w:r>
              <w:t>**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6D6DDD" w:rsidTr="006D6DDD">
        <w:tc>
          <w:tcPr>
            <w:tcW w:w="56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Seminarium doktoranckie III</w:t>
            </w:r>
          </w:p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Postępy w zakresie nauk biomedycznych</w:t>
            </w:r>
          </w:p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Kierownik Studiów Doktoranckich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DDD" w:rsidTr="006D6DDD">
        <w:tc>
          <w:tcPr>
            <w:tcW w:w="56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Prowadzenie zajęć dydaktycznych</w:t>
            </w:r>
          </w:p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DDD" w:rsidTr="006D6DDD">
        <w:tc>
          <w:tcPr>
            <w:tcW w:w="568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Pracownia doktorancka III</w:t>
            </w:r>
          </w:p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naukowa doktoranta)</w:t>
            </w:r>
          </w:p>
          <w:p w:rsidR="006D6DDD" w:rsidRDefault="006D6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D6DDD" w:rsidTr="006D6DDD">
        <w:trPr>
          <w:trHeight w:val="384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6DDD" w:rsidRDefault="006D6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egz.</w:t>
            </w:r>
          </w:p>
        </w:tc>
      </w:tr>
    </w:tbl>
    <w:p w:rsidR="006D6DDD" w:rsidRDefault="006D6DDD" w:rsidP="006D6DDD">
      <w:pPr>
        <w:spacing w:before="80" w:after="0" w:line="240" w:lineRule="auto"/>
        <w:ind w:left="-964" w:right="-9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punkty ECTS w liczbie 3 zostaną przyznane po zrealizowaniu wszystkich zajęć w ramach modułu „Metodologia badań naukowych III” </w:t>
      </w:r>
    </w:p>
    <w:p w:rsidR="006D6DDD" w:rsidRDefault="006D6DDD" w:rsidP="006D6DDD">
      <w:pPr>
        <w:spacing w:after="0" w:line="240" w:lineRule="auto"/>
        <w:ind w:left="-964" w:right="-8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punkty ECTS liczbie 3 zostaną przyznane po zrealizowaniu wszystkich zajęć w ramach modułu „Fakultet zawodowy II”         </w:t>
      </w:r>
    </w:p>
    <w:p w:rsidR="006D6DDD" w:rsidRDefault="006D6DDD" w:rsidP="006D6DDD">
      <w:pPr>
        <w:spacing w:after="0" w:line="240" w:lineRule="auto"/>
        <w:ind w:left="-964" w:right="-8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41813" w:rsidRDefault="00741813"/>
    <w:sectPr w:rsidR="00741813" w:rsidSect="006D6D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B2F"/>
    <w:multiLevelType w:val="hybridMultilevel"/>
    <w:tmpl w:val="0C00D4FC"/>
    <w:lvl w:ilvl="0" w:tplc="13089C20">
      <w:start w:val="1"/>
      <w:numFmt w:val="bullet"/>
      <w:lvlText w:val="­"/>
      <w:lvlJc w:val="left"/>
      <w:pPr>
        <w:ind w:left="720" w:hanging="360"/>
      </w:pPr>
      <w:rPr>
        <w:rFonts w:ascii="Andalus" w:hAnsi="Andalus" w:cs="Times New Roman" w:hint="c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05C2"/>
    <w:multiLevelType w:val="hybridMultilevel"/>
    <w:tmpl w:val="0B44A9A4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699C"/>
    <w:multiLevelType w:val="hybridMultilevel"/>
    <w:tmpl w:val="9F589320"/>
    <w:lvl w:ilvl="0" w:tplc="13089C20">
      <w:start w:val="1"/>
      <w:numFmt w:val="bullet"/>
      <w:lvlText w:val="­"/>
      <w:lvlJc w:val="left"/>
      <w:pPr>
        <w:ind w:left="720" w:hanging="360"/>
      </w:pPr>
      <w:rPr>
        <w:rFonts w:ascii="Andalus" w:hAnsi="Andalus" w:cs="Times New Roman" w:hint="c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61913"/>
    <w:multiLevelType w:val="hybridMultilevel"/>
    <w:tmpl w:val="6BFAEFD4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DD"/>
    <w:rsid w:val="006D6DDD"/>
    <w:rsid w:val="00741813"/>
    <w:rsid w:val="00850E9C"/>
    <w:rsid w:val="00E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3</cp:revision>
  <dcterms:created xsi:type="dcterms:W3CDTF">2020-09-16T09:31:00Z</dcterms:created>
  <dcterms:modified xsi:type="dcterms:W3CDTF">2020-09-18T06:10:00Z</dcterms:modified>
</cp:coreProperties>
</file>